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CCB0" w14:textId="77777777" w:rsidR="008929EE" w:rsidRDefault="008929EE" w:rsidP="008929EE">
      <w:r>
        <w:rPr>
          <w:noProof/>
          <w:lang w:val="hr-HR" w:eastAsia="hr-HR"/>
        </w:rPr>
        <w:drawing>
          <wp:inline distT="0" distB="0" distL="0" distR="0" wp14:anchorId="2B2CCDC8" wp14:editId="2B2CCDC9">
            <wp:extent cx="1612625" cy="42141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nt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35" cy="44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CCB1" w14:textId="77777777" w:rsidR="008929EE" w:rsidRDefault="008929EE" w:rsidP="008929EE"/>
    <w:p w14:paraId="2B2CCCB2" w14:textId="77777777" w:rsidR="008929EE" w:rsidRDefault="008929EE" w:rsidP="008929EE"/>
    <w:p w14:paraId="2B2CCCB3" w14:textId="77777777" w:rsidR="008929EE" w:rsidRDefault="008929EE" w:rsidP="008929EE"/>
    <w:p w14:paraId="2B2CCCB4" w14:textId="77777777" w:rsidR="008929EE" w:rsidRDefault="008929EE" w:rsidP="008929EE"/>
    <w:p w14:paraId="2B2CCCB5" w14:textId="77777777" w:rsidR="008929EE" w:rsidRDefault="008929EE" w:rsidP="008929EE"/>
    <w:p w14:paraId="2B2CCCB6" w14:textId="77777777" w:rsidR="008929EE" w:rsidRDefault="008929EE" w:rsidP="008929EE"/>
    <w:p w14:paraId="2B2CCCB7" w14:textId="77777777" w:rsidR="008929EE" w:rsidRDefault="008929EE" w:rsidP="008929EE"/>
    <w:p w14:paraId="2B2CCCB8" w14:textId="77777777" w:rsidR="008929EE" w:rsidRDefault="008929EE" w:rsidP="008929EE"/>
    <w:p w14:paraId="2B2CCCB9" w14:textId="1ABF9B44" w:rsidR="008929EE" w:rsidRDefault="008929EE" w:rsidP="008929E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5139D">
        <w:rPr>
          <w:rFonts w:ascii="Times New Roman" w:hAnsi="Times New Roman" w:cs="Times New Roman"/>
          <w:b/>
          <w:sz w:val="24"/>
          <w:szCs w:val="24"/>
          <w:lang w:val="hr-HR"/>
        </w:rPr>
        <w:t>Izvješće o provedbi Str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ategije razvoja održivog turizma do 2030. godine</w:t>
      </w:r>
      <w:r w:rsidR="007B25E0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65139D">
        <w:rPr>
          <w:rFonts w:ascii="Times New Roman" w:hAnsi="Times New Roman" w:cs="Times New Roman"/>
          <w:b/>
          <w:sz w:val="24"/>
          <w:szCs w:val="24"/>
          <w:lang w:val="hr-HR"/>
        </w:rPr>
        <w:t>za 2023. godinu</w:t>
      </w:r>
    </w:p>
    <w:p w14:paraId="2B2CCCBA" w14:textId="77777777" w:rsidR="008929EE" w:rsidRDefault="008929EE" w:rsidP="008929E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CCCBB" w14:textId="77777777" w:rsidR="008929EE" w:rsidRDefault="008929EE" w:rsidP="008929E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CCCBC" w14:textId="77777777" w:rsidR="008929EE" w:rsidRDefault="008929EE" w:rsidP="008929E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CCCBD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5139D">
        <w:rPr>
          <w:rFonts w:ascii="Times New Roman" w:hAnsi="Times New Roman" w:cs="Times New Roman"/>
          <w:sz w:val="24"/>
          <w:szCs w:val="24"/>
          <w:lang w:val="hr-HR"/>
        </w:rPr>
        <w:t>Naziv nositelja izrade: Ministarstvo turizma i sporta</w:t>
      </w:r>
    </w:p>
    <w:p w14:paraId="2B2CCCBE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BF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0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1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2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3" w14:textId="77777777" w:rsidR="008929EE" w:rsidRDefault="008929EE" w:rsidP="008929E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4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5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6" w14:textId="77777777" w:rsidR="008929EE" w:rsidRDefault="008929EE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CC7" w14:textId="09FA6CFC" w:rsidR="008929EE" w:rsidRDefault="00A6696C" w:rsidP="008929E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srpanj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 2024. </w:t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 w:val="0"/>
          <w:sz w:val="21"/>
          <w:szCs w:val="21"/>
        </w:rPr>
        <w:id w:val="-20196892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B2CCCC8" w14:textId="77777777" w:rsidR="008929EE" w:rsidRPr="00277D5D" w:rsidRDefault="008929EE" w:rsidP="008929EE">
          <w:pPr>
            <w:pStyle w:val="TOCHeading"/>
            <w:rPr>
              <w:rFonts w:cs="Times New Roman"/>
              <w:sz w:val="28"/>
              <w:szCs w:val="28"/>
            </w:rPr>
          </w:pPr>
          <w:r w:rsidRPr="00277D5D">
            <w:rPr>
              <w:rFonts w:cs="Times New Roman"/>
              <w:sz w:val="28"/>
              <w:szCs w:val="28"/>
            </w:rPr>
            <w:t>Sadržaj</w:t>
          </w:r>
        </w:p>
        <w:p w14:paraId="2B2CCCC9" w14:textId="77777777" w:rsidR="008929EE" w:rsidRDefault="008929EE" w:rsidP="008929EE"/>
        <w:p w14:paraId="2B2CCCCA" w14:textId="77777777" w:rsidR="008929EE" w:rsidRPr="00234EB8" w:rsidRDefault="008929EE" w:rsidP="008929EE"/>
        <w:p w14:paraId="2B2CCCCB" w14:textId="77777777" w:rsidR="008929EE" w:rsidRPr="006D114A" w:rsidRDefault="008929EE" w:rsidP="008929EE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r w:rsidRPr="006D114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D114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D114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8993953" w:history="1">
            <w:r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Uvod</w:t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_Toc168993953 \h </w:instrText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CC" w14:textId="77777777" w:rsidR="008929EE" w:rsidRPr="006D114A" w:rsidRDefault="007B25E0" w:rsidP="008929EE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4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Izvješće o provedbi strateških ciljeva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_Toc168993954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CD" w14:textId="77777777" w:rsidR="008929EE" w:rsidRPr="006D114A" w:rsidRDefault="007B25E0" w:rsidP="00E41578">
          <w:pPr>
            <w:pStyle w:val="TOC2"/>
            <w:tabs>
              <w:tab w:val="left" w:pos="660"/>
              <w:tab w:val="right" w:leader="dot" w:pos="935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5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1.</w:t>
            </w:r>
            <w:r w:rsidR="00E41578">
              <w:rPr>
                <w:rFonts w:ascii="Times New Roman" w:hAnsi="Times New Roman" w:cs="Times New Roman"/>
                <w:noProof/>
                <w:sz w:val="24"/>
                <w:szCs w:val="24"/>
                <w:lang w:val="hr-HR" w:eastAsia="hr-HR"/>
              </w:rPr>
              <w:t xml:space="preserve"> </w:t>
            </w:r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Cjelogodišnji i regionalno uravnoteženiji turizam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_Toc168993955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CE" w14:textId="77777777" w:rsidR="008929EE" w:rsidRPr="006D114A" w:rsidRDefault="007B25E0" w:rsidP="008929EE">
          <w:pPr>
            <w:pStyle w:val="TOC3"/>
            <w:tabs>
              <w:tab w:val="left" w:pos="110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6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1.1.</w:t>
            </w:r>
            <w:r w:rsidR="008929EE" w:rsidRPr="006D114A">
              <w:rPr>
                <w:rFonts w:ascii="Times New Roman" w:hAnsi="Times New Roman" w:cs="Times New Roman"/>
                <w:noProof/>
                <w:sz w:val="24"/>
                <w:szCs w:val="24"/>
                <w:lang w:val="hr-HR" w:eastAsia="hr-HR"/>
              </w:rPr>
              <w:tab/>
            </w:r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Ostvarene vrijednosti pokazatelja uspješnosti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_Toc168993956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CF" w14:textId="77777777" w:rsidR="008929EE" w:rsidRPr="006D114A" w:rsidRDefault="007B25E0" w:rsidP="008929EE">
          <w:pPr>
            <w:pStyle w:val="TOC1"/>
            <w:tabs>
              <w:tab w:val="left" w:pos="42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7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2.</w:t>
            </w:r>
            <w:r w:rsidR="008929EE" w:rsidRPr="006D114A">
              <w:rPr>
                <w:rFonts w:ascii="Times New Roman" w:hAnsi="Times New Roman" w:cs="Times New Roman"/>
                <w:noProof/>
                <w:sz w:val="24"/>
                <w:szCs w:val="24"/>
                <w:lang w:val="hr-HR" w:eastAsia="hr-HR"/>
              </w:rPr>
              <w:tab/>
            </w:r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Turizam uz očuvan okoliš, prostor i klimu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_Toc168993957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0" w14:textId="77777777" w:rsidR="008929EE" w:rsidRPr="006D114A" w:rsidRDefault="007B25E0" w:rsidP="008929EE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8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2.1. Ostvarene vrijednosti pokazatelja uspješnosti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_Toc168993958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1" w14:textId="77777777" w:rsidR="008929EE" w:rsidRPr="006D114A" w:rsidRDefault="007B25E0" w:rsidP="008929EE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59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3. Konkurentan i inovativan turizam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_Toc168993959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2" w14:textId="77777777" w:rsidR="008929EE" w:rsidRPr="006D114A" w:rsidRDefault="007B25E0" w:rsidP="008929EE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60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3.1. Ostvarene vrijednosti pokazatelja uspješnosti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_Toc168993960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3" w14:textId="77777777" w:rsidR="008929EE" w:rsidRPr="006D114A" w:rsidRDefault="007B25E0" w:rsidP="008929EE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61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4. Otporan turizam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_Toc168993961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4" w14:textId="77777777" w:rsidR="008929EE" w:rsidRPr="006D114A" w:rsidRDefault="007B25E0" w:rsidP="008929EE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62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4.1. Ostvarene vrijednosti pokazatelja uspješnosti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_Toc168993962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5" w14:textId="77777777" w:rsidR="008929EE" w:rsidRPr="006D114A" w:rsidRDefault="007B25E0" w:rsidP="008929EE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hr-HR" w:eastAsia="hr-HR"/>
            </w:rPr>
          </w:pPr>
          <w:hyperlink w:anchor="_Toc168993963" w:history="1">
            <w:r w:rsidR="008929EE" w:rsidRPr="006D114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t>Zaključak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_Toc168993963 \h </w:instrTex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67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929EE" w:rsidRPr="006D114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CCCD6" w14:textId="77777777" w:rsidR="008929EE" w:rsidRPr="009E0DE0" w:rsidRDefault="008929EE" w:rsidP="008929EE">
          <w:pPr>
            <w:sectPr w:rsidR="008929EE" w:rsidRPr="009E0DE0">
              <w:footerReference w:type="default" r:id="rId12"/>
              <w:pgSz w:w="12240" w:h="15840"/>
              <w:pgMar w:top="1440" w:right="1440" w:bottom="1440" w:left="1440" w:header="708" w:footer="708" w:gutter="0"/>
              <w:cols w:space="708"/>
              <w:docGrid w:linePitch="360"/>
            </w:sectPr>
          </w:pPr>
          <w:r w:rsidRPr="006D114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B2CCCD7" w14:textId="77777777" w:rsidR="008929EE" w:rsidRPr="0094569A" w:rsidRDefault="008929EE" w:rsidP="008929EE">
      <w:pPr>
        <w:pStyle w:val="Heading1"/>
        <w:rPr>
          <w:lang w:val="hr-HR"/>
        </w:rPr>
      </w:pPr>
      <w:bookmarkStart w:id="1" w:name="_Toc168993953"/>
      <w:r w:rsidRPr="0094569A">
        <w:rPr>
          <w:lang w:val="hr-HR"/>
        </w:rPr>
        <w:lastRenderedPageBreak/>
        <w:t>Uvod</w:t>
      </w:r>
      <w:bookmarkEnd w:id="1"/>
    </w:p>
    <w:p w14:paraId="2B2CCCD8" w14:textId="77777777" w:rsidR="008929EE" w:rsidRDefault="008929EE" w:rsidP="008929EE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CCCD9" w14:textId="77777777" w:rsidR="008929EE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temelju članka 11. stavka 2. Zakona o sustavu strateškog planiranja i upravljanja razvojem Republike Hrvatske („Narodne novine“, br. 123/17. i 151/22.) Hrvatski sabor je na sjednici 16. prosinca 2022.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godine</w:t>
      </w: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usvojio</w:t>
      </w: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Strategiju razvoja održivog turizma do 2030. godine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1"/>
      </w: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(„Narodne novine“, br. 2/2023., dalje u tekstu Strategija).</w:t>
      </w:r>
    </w:p>
    <w:p w14:paraId="2B2CCCDA" w14:textId="77777777" w:rsidR="008929EE" w:rsidRPr="00991E1D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91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Strategija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je </w:t>
      </w:r>
      <w:r w:rsidRPr="00991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ključni  dokument za strateško planiranje turizma 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Republici </w:t>
      </w:r>
      <w:r w:rsidRPr="00991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Hrvatskoj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991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kontekstu razvojnih potreba i potencijala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Strategijom su </w:t>
      </w:r>
      <w:r w:rsidRPr="00991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utvrđeni strateški ciljevi koji doprinose održivom turizmu i ukupnom gospodarskom i društvenom razvoju Hrvatske te unapređenju uvjeta života i rada njenih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stanovnika, i to kako slijedi:</w:t>
      </w:r>
    </w:p>
    <w:p w14:paraId="2B2CCCDB" w14:textId="77777777" w:rsidR="008929EE" w:rsidRPr="006436AF" w:rsidRDefault="008929EE" w:rsidP="008929E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64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Cjelogodišnji i regionalno uravnoteženiji turizam,</w:t>
      </w:r>
    </w:p>
    <w:p w14:paraId="2B2CCCDC" w14:textId="77777777" w:rsidR="008929EE" w:rsidRPr="006436AF" w:rsidRDefault="008929EE" w:rsidP="008929E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64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Turizam uz očuvan okoliš, prostor i klimu,</w:t>
      </w:r>
    </w:p>
    <w:p w14:paraId="2B2CCCDD" w14:textId="77777777" w:rsidR="008929EE" w:rsidRPr="006436AF" w:rsidRDefault="008929EE" w:rsidP="008929E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64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Konkurentan i inovativan turizam,</w:t>
      </w:r>
    </w:p>
    <w:p w14:paraId="2B2CCCDE" w14:textId="77777777" w:rsidR="008929EE" w:rsidRPr="006436AF" w:rsidRDefault="008929EE" w:rsidP="008929E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64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Otporan turizam.</w:t>
      </w:r>
    </w:p>
    <w:p w14:paraId="2B2CCCDF" w14:textId="77777777" w:rsidR="008929EE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Prema podacima </w:t>
      </w: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Turističkog barometra UN Turizma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2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Republika </w:t>
      </w:r>
      <w:r w:rsidRPr="00B51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Hrvatska se u 2023. godini popela s 32. na 25. mjesto po prihodima od međunarodnog turizma.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02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Prema podacima Hrvatske narodne banke za 2023. godinu, prihodi od stranih turista iznosili su 14,6 milijardi eura što predstavlja rast od 11,4% u odnosu na isto razdoblje 2022. godine, odnosno prihodovano je 1,49 milijardi eura više.</w:t>
      </w:r>
    </w:p>
    <w:p w14:paraId="2B2CCCE0" w14:textId="77777777" w:rsidR="00E41578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Također,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2023.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godina je bila uspješna i po broju dolazak</w:t>
      </w:r>
      <w:r w:rsidR="00892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i noćenja turista. Prema podacima </w:t>
      </w:r>
      <w:r w:rsidR="00892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Državnog zavoda za statistiku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u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Republici Hrvatskoj je u 2023. godini ostvareno 19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5 milijuna dolazaka i 92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 milijuna noćenja turista, što je za 9.7% više dolazaka turista i za 2.6% više noćenja u odnosu na 2022. godinu.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odnosu 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rekordnu 2019. bilo je 0.4%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manje dolazaka, ali za 1.2%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noćenja turista. </w:t>
      </w:r>
    </w:p>
    <w:p w14:paraId="2B2CCCE1" w14:textId="77777777" w:rsidR="008929EE" w:rsidRPr="00D90036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Domać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 turisti ostvarili su 7.6 % više dolazaka i 4.7%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noćenja, dok su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trani turisti ostvarili 10% više dolazaka i 2.4%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noćenja 2023.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godine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nego 2022.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godine. </w:t>
      </w:r>
    </w:p>
    <w:p w14:paraId="2B2CCCE2" w14:textId="77777777" w:rsidR="008929EE" w:rsidRPr="00D90036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 prošloj je godini najviše noćenja ostvareno u Istri (28,1 milijun noćenja, što je 1,6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% više noćenja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odnosu na 2022.)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a s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lijede Splitsko-dalmatinska županija (17,8 milijuna noćenja) te Primorsko-goranska županija (15,6 milijuna noćenja),  gdje je u obje županije ostvareno više noćenja u odnosu na 2022. godinu.</w:t>
      </w:r>
    </w:p>
    <w:p w14:paraId="2B2CCCE3" w14:textId="77777777" w:rsidR="008929EE" w:rsidRPr="00D90036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Porast u noćenjima bilježe još i Zadarska županija s 15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 milijuna realiziranih noćenja, Dubrovačko-neretvanska s 8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 milijuna realiziranih noćenja te Ličko-senjska županija s 3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 milijuna rea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liziranih noćenja. Pritom je u G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radu Zagrebu lani ostvareno 2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5 milijuna noćenja, što predstavlja rast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gotovo 13%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donosu na 2022.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godinu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dok je na ostatku kontinenta lani ukupno ostvareno 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više od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="00E41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 milijuna noćenja, što tako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đer predstavlja rast od 13%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više noćenja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odnosu na 2022.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godinu.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Gledano prema destinacijama, najviše je noćenja u prošloj godini ostvareno u Rovinju, Dubrovniku, Poreču, Splitu te Umagu.</w:t>
      </w:r>
    </w:p>
    <w:p w14:paraId="2B2CCCE4" w14:textId="77777777" w:rsidR="008929EE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Republici 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Hrvatskoj je u 2023.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godine</w:t>
      </w:r>
      <w:r w:rsidRPr="00D9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prosječna stopa turističkog intenziteta bila 30 stalnih postelja na 100 stanovnika te 2.386 noć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enja turista na 100 stanovnika.</w:t>
      </w:r>
    </w:p>
    <w:p w14:paraId="2B2CCCE5" w14:textId="77777777" w:rsidR="008929EE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Tijekom 2023. godine završeni 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reformski procesi koji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osigura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24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sveobuhvatan i učinkovit organizacijski i pravni okvir za upravljanje razvojem održivog turizma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. Temeljem </w:t>
      </w:r>
      <w:r w:rsidRPr="0024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Strategije razvoja održivog turizma do 2030. godine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u okviru reforme, izrađen je i u kolovozu 2023. godine usvojen </w:t>
      </w:r>
      <w:r w:rsidRPr="0024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Nacionalni plan razvoja održivog turizma do 2027. godine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3"/>
      </w:r>
      <w:r w:rsidRPr="0024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srednjoročni akt strateškog planiranja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koji </w:t>
      </w:r>
      <w:r w:rsidRPr="0024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sadržava operacionalizaciju prioritetnih područja kroz konkretne mjere.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Pr="00800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IV. kvartalu 2023. godine donesen je Zakon o turizmu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4"/>
      </w:r>
      <w:r w:rsidRPr="00800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(„Narodne novine“, br. 156/23.)  </w:t>
      </w:r>
      <w:r w:rsidRPr="00800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koji je stupio na snagu 1. siječnja 2024. godine.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Cilj </w:t>
      </w:r>
      <w:r w:rsidRPr="00DC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Zakon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DC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 turizmu  („Narodne novine“, br. 156/23.)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je</w:t>
      </w:r>
      <w:r w:rsidRPr="00DC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stvaranje okvira za upravljanje razvojem turizma na temelju podataka i egzaktnih izračuna, u pogledu očuvanja resursa i prostora, osiguranja zadovoljstva i kvalitete života stanovništva u turističkim destinacijama, kao i osiguranju konkurentnosti hrvatskog turizma na globalnom tržištu.</w:t>
      </w:r>
    </w:p>
    <w:p w14:paraId="2B2CCCE6" w14:textId="77777777" w:rsidR="008929EE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Dio reforme sustava upravljanja razvojem turizma</w:t>
      </w:r>
      <w:r w:rsidR="00C92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i razvoj s</w:t>
      </w:r>
      <w:r w:rsidRPr="00800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ustava satelitskih računa održivosti turizma Republike Hrvatske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čiji je metodološki okvir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5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objavljen u prosincu 2023. godine kao i </w:t>
      </w:r>
      <w:r w:rsidRPr="00400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dodjela bespovratnih sredstava kroz tri investicije u okviru 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Nacionalnog plana oporavka i otpornosti (u daljnjem tekstu</w:t>
      </w:r>
      <w:r w:rsidR="00322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:</w:t>
      </w:r>
      <w:r w:rsidR="001D1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NPOO)</w:t>
      </w:r>
      <w:r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footnoteReference w:id="6"/>
      </w:r>
      <w:r w:rsidRPr="00400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</w:t>
      </w:r>
      <w:r w:rsidRPr="00400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zelenu i digitalnu tranziciju javne i pri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vatne turističke infrastrukture te</w:t>
      </w:r>
      <w:r w:rsidRPr="00400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</w:t>
      </w:r>
      <w:r w:rsidRPr="00400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a jačanje ljudskih potencijala za održivi turizam.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5C5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Vrijednost provedenih javnih poziva u okviru NPOO iznosi 289,3 milijuna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eura, od toga za javni sektor </w:t>
      </w:r>
      <w:r w:rsidRPr="005C5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123,4 milijuna eura, a za privatni 165,9 milijuna eura.</w:t>
      </w:r>
      <w:r w:rsidR="00F661F2" w:rsidRPr="00F661F2">
        <w:t xml:space="preserve"> </w:t>
      </w:r>
      <w:r w:rsidR="00F661F2" w:rsidRPr="00F66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Ukupno je </w:t>
      </w:r>
      <w:r w:rsidR="00F66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kroz EU sredstva i državni proračun </w:t>
      </w:r>
      <w:r w:rsidR="00F661F2" w:rsidRPr="00F66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osigurano oko 1,3 milijarde eura do 2030. za financiranje projekata koji doprinose razvoju održivog turizma.</w:t>
      </w:r>
    </w:p>
    <w:p w14:paraId="2B2CCCE7" w14:textId="77777777" w:rsidR="008929EE" w:rsidRPr="00C23A91" w:rsidRDefault="008929EE" w:rsidP="008929EE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Slijedom navedenog, Republika Hrvatska ima ispunjene sve preduvjete za uspješno upravljanje razvojem turizma.</w:t>
      </w:r>
    </w:p>
    <w:p w14:paraId="2B2CCCE8" w14:textId="77777777" w:rsidR="008929EE" w:rsidRDefault="008929EE" w:rsidP="008929EE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CCCE9" w14:textId="77777777" w:rsidR="008929EE" w:rsidRDefault="008929EE" w:rsidP="008929EE">
      <w:pPr>
        <w:rPr>
          <w:rFonts w:ascii="Times New Roman" w:eastAsiaTheme="majorEastAsia" w:hAnsi="Times New Roman" w:cstheme="majorBidi"/>
          <w:b/>
          <w:sz w:val="24"/>
          <w:szCs w:val="40"/>
          <w:lang w:val="hr-HR"/>
        </w:rPr>
      </w:pPr>
    </w:p>
    <w:p w14:paraId="2B2CCCEA" w14:textId="77777777" w:rsidR="008929EE" w:rsidRDefault="008929EE" w:rsidP="008929EE">
      <w:pPr>
        <w:pStyle w:val="Heading1"/>
        <w:jc w:val="center"/>
        <w:rPr>
          <w:lang w:val="hr-HR"/>
        </w:rPr>
      </w:pPr>
      <w:bookmarkStart w:id="2" w:name="_Toc168993954"/>
      <w:r>
        <w:rPr>
          <w:lang w:val="hr-HR"/>
        </w:rPr>
        <w:t>Izvješće o provedbi strateških ciljeva</w:t>
      </w:r>
      <w:bookmarkEnd w:id="2"/>
    </w:p>
    <w:p w14:paraId="2B2CCCEB" w14:textId="77777777" w:rsidR="008929EE" w:rsidRPr="00277D5D" w:rsidRDefault="008929EE" w:rsidP="008929EE">
      <w:pPr>
        <w:rPr>
          <w:lang w:val="hr-HR"/>
        </w:rPr>
      </w:pPr>
    </w:p>
    <w:p w14:paraId="2B2CCCEC" w14:textId="77777777" w:rsidR="008929EE" w:rsidRPr="00D75EA2" w:rsidRDefault="008929EE" w:rsidP="008929EE">
      <w:pPr>
        <w:pStyle w:val="Heading2"/>
        <w:numPr>
          <w:ilvl w:val="0"/>
          <w:numId w:val="5"/>
        </w:numPr>
        <w:rPr>
          <w:lang w:val="hr-HR"/>
        </w:rPr>
      </w:pPr>
      <w:bookmarkStart w:id="3" w:name="_Toc168993955"/>
      <w:r w:rsidRPr="00D75EA2">
        <w:rPr>
          <w:lang w:val="hr-HR"/>
        </w:rPr>
        <w:t>Cjelogodišnji i regionalno uravnoteženiji turizam</w:t>
      </w:r>
      <w:bookmarkEnd w:id="3"/>
    </w:p>
    <w:p w14:paraId="2B2CCCED" w14:textId="77777777" w:rsidR="008929EE" w:rsidRDefault="008929EE" w:rsidP="008929EE">
      <w:pPr>
        <w:pStyle w:val="Heading3"/>
        <w:numPr>
          <w:ilvl w:val="1"/>
          <w:numId w:val="1"/>
        </w:numPr>
        <w:rPr>
          <w:lang w:val="hr-HR"/>
        </w:rPr>
      </w:pPr>
      <w:bookmarkStart w:id="4" w:name="_Toc168993956"/>
      <w:r>
        <w:rPr>
          <w:lang w:val="hr-HR"/>
        </w:rPr>
        <w:t>Ostvarene vrijednosti pokazatelja uspješnosti</w:t>
      </w:r>
      <w:bookmarkEnd w:id="4"/>
    </w:p>
    <w:p w14:paraId="2B2CCCEE" w14:textId="77777777" w:rsidR="008929EE" w:rsidRDefault="008929EE" w:rsidP="008929EE">
      <w:pPr>
        <w:rPr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844"/>
        <w:gridCol w:w="2551"/>
        <w:gridCol w:w="2268"/>
      </w:tblGrid>
      <w:tr w:rsidR="008929EE" w14:paraId="2B2CCCF3" w14:textId="77777777" w:rsidTr="00CB171A">
        <w:tc>
          <w:tcPr>
            <w:tcW w:w="2830" w:type="dxa"/>
            <w:shd w:val="clear" w:color="auto" w:fill="D0CECE" w:themeFill="background2" w:themeFillShade="E6"/>
          </w:tcPr>
          <w:p w14:paraId="2B2CCCEF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Pokazatelj učinka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CF0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2B2CCCF1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Ciljna vrijednost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CF2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Ostvarena vrijednost, godina podatka</w:t>
            </w:r>
          </w:p>
        </w:tc>
      </w:tr>
      <w:tr w:rsidR="008929EE" w14:paraId="2B2CCCFC" w14:textId="77777777" w:rsidTr="00CB171A">
        <w:trPr>
          <w:trHeight w:val="21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CF4" w14:textId="77777777" w:rsidR="008929EE" w:rsidRPr="00D75EA2" w:rsidRDefault="008929EE" w:rsidP="00CB171A">
            <w:pPr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815909">
              <w:rPr>
                <w:rFonts w:ascii="Times New Roman" w:hAnsi="Times New Roman" w:cs="Times New Roman"/>
                <w:lang w:val="hr-HR"/>
              </w:rPr>
              <w:t>Udio ostvarenog BDV-a djelatnosti I</w:t>
            </w:r>
            <w:r>
              <w:rPr>
                <w:rStyle w:val="FootnoteReference"/>
                <w:rFonts w:ascii="Times New Roman" w:hAnsi="Times New Roman" w:cs="Times New Roman"/>
                <w:lang w:val="hr-HR"/>
              </w:rPr>
              <w:footnoteReference w:id="7"/>
            </w:r>
            <w:r w:rsidRPr="00815909">
              <w:rPr>
                <w:rFonts w:ascii="Times New Roman" w:hAnsi="Times New Roman" w:cs="Times New Roman"/>
                <w:lang w:val="hr-HR"/>
              </w:rPr>
              <w:t xml:space="preserve"> u Kontinentalnoj Hrvatskoj (Sjeverna Hrvatska, Grad Zagreb i Slavonija – bez Jadranske Hrvatske) u ukupno ostvarenom BDV-u u Republici Hrvatskoj, DZS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2CCCF5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28,3 </w:t>
            </w:r>
            <w:r w:rsidRPr="00277D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CF6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37,4 </w:t>
            </w:r>
            <w:r w:rsidRPr="00277D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CF7" w14:textId="77777777" w:rsidR="008929EE" w:rsidRDefault="008929EE" w:rsidP="00CB171A">
            <w:pPr>
              <w:rPr>
                <w:lang w:val="hr-HR"/>
              </w:rPr>
            </w:pPr>
          </w:p>
          <w:p w14:paraId="2B2CCCF8" w14:textId="77777777" w:rsidR="008929EE" w:rsidRDefault="008929EE" w:rsidP="00CB171A">
            <w:pPr>
              <w:rPr>
                <w:lang w:val="hr-HR"/>
              </w:rPr>
            </w:pPr>
          </w:p>
          <w:p w14:paraId="2B2CCCF9" w14:textId="77777777" w:rsidR="008929EE" w:rsidRDefault="008929EE" w:rsidP="00CB171A">
            <w:pPr>
              <w:rPr>
                <w:lang w:val="hr-HR"/>
              </w:rPr>
            </w:pPr>
          </w:p>
          <w:p w14:paraId="2B2CCCFA" w14:textId="77777777" w:rsidR="008929EE" w:rsidRDefault="008929EE" w:rsidP="00CB171A">
            <w:pPr>
              <w:rPr>
                <w:lang w:val="hr-HR"/>
              </w:rPr>
            </w:pPr>
          </w:p>
          <w:p w14:paraId="2B2CCCFB" w14:textId="77777777" w:rsidR="008929EE" w:rsidRPr="009B09C5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29,6% (2021.)</w:t>
            </w:r>
          </w:p>
        </w:tc>
      </w:tr>
      <w:tr w:rsidR="008929EE" w14:paraId="2B2CCD03" w14:textId="77777777" w:rsidTr="00CB171A">
        <w:trPr>
          <w:trHeight w:val="12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CFD" w14:textId="77777777" w:rsidR="008929EE" w:rsidRPr="00D75EA2" w:rsidRDefault="008929EE" w:rsidP="00CB171A">
            <w:pPr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815909">
              <w:rPr>
                <w:rFonts w:ascii="Times New Roman" w:hAnsi="Times New Roman" w:cs="Times New Roman"/>
                <w:lang w:val="hr-HR"/>
              </w:rPr>
              <w:t xml:space="preserve">Udio prihoda od turizma u 1., 2. i 4. kvartalu u ukupnim prihodima od turizma, HNB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2CCCFE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37,1 </w:t>
            </w:r>
            <w:r w:rsidRPr="00277D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CFF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44,2 </w:t>
            </w:r>
            <w:r w:rsidRPr="00277D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00" w14:textId="77777777" w:rsidR="008929EE" w:rsidRDefault="008929EE" w:rsidP="00CB171A">
            <w:pPr>
              <w:rPr>
                <w:lang w:val="hr-HR"/>
              </w:rPr>
            </w:pPr>
          </w:p>
          <w:p w14:paraId="2B2CCD01" w14:textId="77777777" w:rsidR="008929EE" w:rsidRDefault="008929EE" w:rsidP="00CB171A">
            <w:pPr>
              <w:rPr>
                <w:lang w:val="hr-HR"/>
              </w:rPr>
            </w:pPr>
          </w:p>
          <w:p w14:paraId="2B2CCD02" w14:textId="77777777" w:rsidR="008929EE" w:rsidRPr="00F23148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31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35,4% (2022.)</w:t>
            </w:r>
          </w:p>
        </w:tc>
      </w:tr>
    </w:tbl>
    <w:p w14:paraId="2B2CCD04" w14:textId="77777777" w:rsidR="008929EE" w:rsidRPr="00277D5D" w:rsidRDefault="008929EE" w:rsidP="008929EE">
      <w:pPr>
        <w:rPr>
          <w:lang w:val="hr-HR"/>
        </w:rPr>
      </w:pPr>
    </w:p>
    <w:p w14:paraId="2B2CCD05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3F5589">
        <w:rPr>
          <w:rFonts w:ascii="Times New Roman" w:hAnsi="Times New Roman" w:cs="Times New Roman"/>
          <w:sz w:val="24"/>
          <w:szCs w:val="24"/>
          <w:lang w:val="hr-HR"/>
        </w:rPr>
        <w:t xml:space="preserve">  prvoj godini provođenja Strategije razvoja održivog turizma do 2030. godine</w:t>
      </w:r>
      <w:r>
        <w:rPr>
          <w:rFonts w:ascii="Times New Roman" w:hAnsi="Times New Roman" w:cs="Times New Roman"/>
          <w:sz w:val="24"/>
          <w:szCs w:val="24"/>
          <w:lang w:val="hr-HR"/>
        </w:rPr>
        <w:t>, rezultati mjerenja napretka</w:t>
      </w:r>
      <w:r w:rsidRPr="003F5589">
        <w:rPr>
          <w:rFonts w:ascii="Times New Roman" w:hAnsi="Times New Roman" w:cs="Times New Roman"/>
          <w:sz w:val="24"/>
          <w:szCs w:val="24"/>
          <w:lang w:val="hr-HR"/>
        </w:rPr>
        <w:t xml:space="preserve"> u provedbi strateškog cilja usmjerenog na cjelogodišnji i regionalno uravnoteženiji turizam</w:t>
      </w:r>
      <w:r>
        <w:rPr>
          <w:rFonts w:ascii="Times New Roman" w:hAnsi="Times New Roman" w:cs="Times New Roman"/>
          <w:sz w:val="24"/>
          <w:szCs w:val="24"/>
          <w:lang w:val="hr-HR"/>
        </w:rPr>
        <w:t>,  uzimaju u obzir zadnje raspoložive pokazatelje</w:t>
      </w:r>
      <w:r w:rsidRPr="009144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koji su dostupni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, a to su podaci iz</w:t>
      </w:r>
      <w:r w:rsidR="003D55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144FA">
        <w:rPr>
          <w:rFonts w:ascii="Times New Roman" w:hAnsi="Times New Roman" w:cs="Times New Roman"/>
          <w:sz w:val="24"/>
          <w:szCs w:val="24"/>
          <w:lang w:val="hr-HR"/>
        </w:rPr>
        <w:t>2021. i 2022. godine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 xml:space="preserve">. S obzirom kako je to </w:t>
      </w:r>
      <w:r>
        <w:rPr>
          <w:rFonts w:ascii="Times New Roman" w:hAnsi="Times New Roman" w:cs="Times New Roman"/>
          <w:sz w:val="24"/>
          <w:szCs w:val="24"/>
          <w:lang w:val="hr-HR"/>
        </w:rPr>
        <w:t>razdoblj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 xml:space="preserve">bilo pod </w:t>
      </w:r>
      <w:r w:rsidRPr="009144FA">
        <w:rPr>
          <w:rFonts w:ascii="Times New Roman" w:hAnsi="Times New Roman" w:cs="Times New Roman"/>
          <w:sz w:val="24"/>
          <w:szCs w:val="24"/>
          <w:lang w:val="hr-HR"/>
        </w:rPr>
        <w:t>jakim utjecajem krize uzrokovane pandemijom COVID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9144FA">
        <w:rPr>
          <w:rFonts w:ascii="Times New Roman" w:hAnsi="Times New Roman" w:cs="Times New Roman"/>
          <w:sz w:val="24"/>
          <w:szCs w:val="24"/>
          <w:lang w:val="hr-HR"/>
        </w:rPr>
        <w:t>19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zaključujemo kako se isti rezultati moraju uzeti s određenom dozom opreza.  </w:t>
      </w:r>
    </w:p>
    <w:p w14:paraId="2B2CCD06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Iako je ključni izazov hrvatskog turizm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vremenska i prostorna neujednačenost turističke aktivnosti te sezonalnost poslovanja,  u 2021. godini je vidljiv  blagi porast ostvarene bruto dodane vrijednosti u </w:t>
      </w:r>
      <w:r w:rsidRPr="003036B0">
        <w:rPr>
          <w:rFonts w:ascii="Times New Roman" w:hAnsi="Times New Roman" w:cs="Times New Roman"/>
          <w:sz w:val="24"/>
          <w:szCs w:val="24"/>
          <w:lang w:val="hr-HR"/>
        </w:rPr>
        <w:t>djelatnosti pružanja smještaja te pripreme i usluživanja hrane u Kontinentalnoj Hrvatskoj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s obzirom da su domaći turisti putovali više u svojoj bližoj okolici, birali manje posjećena mjesta i izbjegavali gužve tipične za </w:t>
      </w:r>
      <w:r w:rsidR="003D55DB">
        <w:rPr>
          <w:rFonts w:ascii="Times New Roman" w:hAnsi="Times New Roman" w:cs="Times New Roman"/>
          <w:sz w:val="24"/>
          <w:szCs w:val="24"/>
          <w:lang w:val="hr-HR"/>
        </w:rPr>
        <w:t xml:space="preserve">najrazvijenije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turističke destinacije. </w:t>
      </w:r>
    </w:p>
    <w:p w14:paraId="2B2CCD07" w14:textId="77777777" w:rsidR="008929EE" w:rsidRPr="00EC7BC0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 druge strane, udio prihoda od turizma </w:t>
      </w:r>
      <w:r w:rsidRPr="00331AA4">
        <w:rPr>
          <w:rFonts w:ascii="Times New Roman" w:hAnsi="Times New Roman" w:cs="Times New Roman"/>
          <w:sz w:val="24"/>
          <w:szCs w:val="24"/>
          <w:lang w:val="hr-HR"/>
        </w:rPr>
        <w:t>u 1., 2. i 4. kvartalu u ukupnim prihodima od turizma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pokazatelj koji ukazuje na smanjenje sezonalnosti. Tijekom 2022. godine, prihodi izvan glavn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og dijela turističke godine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D55DB">
        <w:rPr>
          <w:rFonts w:ascii="Times New Roman" w:hAnsi="Times New Roman" w:cs="Times New Roman"/>
          <w:sz w:val="24"/>
          <w:szCs w:val="24"/>
          <w:lang w:val="hr-HR"/>
        </w:rPr>
        <w:t xml:space="preserve">manji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1,6% zbog aktivnih mjera donesenih za sprečavanje pandemije koje su bile na snazi sve do travnja 2022. godine.  </w:t>
      </w:r>
      <w:r w:rsidRPr="00EC7BC0">
        <w:rPr>
          <w:rFonts w:ascii="Times New Roman" w:hAnsi="Times New Roman" w:cs="Times New Roman"/>
          <w:sz w:val="24"/>
          <w:szCs w:val="24"/>
          <w:lang w:val="hr-HR"/>
        </w:rPr>
        <w:t>Međutim,</w:t>
      </w:r>
      <w:r w:rsidRPr="00D95B55">
        <w:rPr>
          <w:rFonts w:ascii="Times New Roman" w:hAnsi="Times New Roman" w:cs="Times New Roman"/>
          <w:sz w:val="24"/>
          <w:szCs w:val="24"/>
        </w:rPr>
        <w:t xml:space="preserve"> </w:t>
      </w:r>
      <w:r w:rsidRPr="0032249A">
        <w:rPr>
          <w:rFonts w:ascii="Times New Roman" w:hAnsi="Times New Roman" w:cs="Times New Roman"/>
          <w:sz w:val="24"/>
          <w:szCs w:val="24"/>
          <w:lang w:val="hr-HR"/>
        </w:rPr>
        <w:t>mjere pomoći gospodarstvu uslijed epidemije koronavirusa, koje</w:t>
      </w:r>
      <w:r w:rsidRPr="00D95B55">
        <w:rPr>
          <w:rFonts w:ascii="Times New Roman" w:hAnsi="Times New Roman" w:cs="Times New Roman"/>
          <w:sz w:val="24"/>
          <w:szCs w:val="24"/>
        </w:rPr>
        <w:t xml:space="preserve"> je </w:t>
      </w:r>
      <w:r w:rsidRPr="00EC7BC0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donijela, između ostaloga, i </w:t>
      </w:r>
      <w:r w:rsidRPr="00EC7BC0">
        <w:rPr>
          <w:rFonts w:ascii="Times New Roman" w:hAnsi="Times New Roman" w:cs="Times New Roman"/>
          <w:sz w:val="24"/>
          <w:szCs w:val="24"/>
          <w:lang w:val="hr-HR"/>
        </w:rPr>
        <w:t>za očuvanje radnih mjesta, kao i posebnih mjera predviđenih za sektor turizma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C7B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sigurno </w:t>
      </w:r>
      <w:r w:rsidR="003D55DB">
        <w:rPr>
          <w:rFonts w:ascii="Times New Roman" w:hAnsi="Times New Roman" w:cs="Times New Roman"/>
          <w:sz w:val="24"/>
          <w:szCs w:val="24"/>
          <w:lang w:val="hr-HR"/>
        </w:rPr>
        <w:t>su doprinijele zadržavanju turističkih rezultata odnosno jačanju otpornosti sektora turizma.</w:t>
      </w:r>
    </w:p>
    <w:p w14:paraId="2B2CCD08" w14:textId="77777777" w:rsidR="008929EE" w:rsidRPr="000A413F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bi doprinijeli r</w:t>
      </w:r>
      <w:r w:rsidRPr="00D80FF7">
        <w:rPr>
          <w:rFonts w:ascii="Times New Roman" w:hAnsi="Times New Roman" w:cs="Times New Roman"/>
          <w:sz w:val="24"/>
          <w:szCs w:val="24"/>
          <w:lang w:val="hr-HR"/>
        </w:rPr>
        <w:t>azvoj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D80FF7">
        <w:rPr>
          <w:rFonts w:ascii="Times New Roman" w:hAnsi="Times New Roman" w:cs="Times New Roman"/>
          <w:sz w:val="24"/>
          <w:szCs w:val="24"/>
          <w:lang w:val="hr-HR"/>
        </w:rPr>
        <w:t xml:space="preserve"> uravnoteženijeg i uključivog turizma kroz turističke 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roizvode više dodane vrijednosti,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Ministarstvo turizma i sporta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(dalje u tekstu: MINTS)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je u 2023. godini temeljem Javnog poziva za Program potpora Konkurentnost turističkog gospodarstva dodijeli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l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o potpore male vrijednosti 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ukupnom iznosu 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>
        <w:rPr>
          <w:rFonts w:ascii="Times New Roman" w:hAnsi="Times New Roman" w:cs="Times New Roman"/>
          <w:sz w:val="24"/>
          <w:szCs w:val="24"/>
          <w:lang w:val="hr-HR"/>
        </w:rPr>
        <w:t>2,57 mil.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Pr="00D80FF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iz sredstava državnog proračuna za 221 projekt. Programom se potiče zelena i digitalna tranzicija mikro, malih i srednjih poduzetnika u turizmu kroz razvoj održivih turističkih proizvoda, </w:t>
      </w:r>
      <w:r w:rsidR="003D55DB">
        <w:rPr>
          <w:rFonts w:ascii="Times New Roman" w:hAnsi="Times New Roman" w:cs="Times New Roman"/>
          <w:sz w:val="24"/>
          <w:szCs w:val="24"/>
          <w:lang w:val="hr-HR"/>
        </w:rPr>
        <w:t xml:space="preserve">unapređenje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procesa </w:t>
      </w:r>
      <w:r w:rsidR="003121B8"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pružanja ugostiteljskih i/ili turističkih usluga 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 xml:space="preserve">kako bi isti bili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prihvatlji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za okoliš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4EB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 xml:space="preserve"> temeljeni na načelima kružnog gospodarstva uz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povećanje energetske učinkovitosti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 xml:space="preserve"> te kroz digitalizaciju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09" w14:textId="77777777" w:rsidR="008929EE" w:rsidRPr="000A413F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413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 ciljem ostvarivanja cjelogodišnjeg i regionalno uravnoteženog turizma provodile su 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marketinške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aktivnosti </w:t>
      </w:r>
      <w:r>
        <w:rPr>
          <w:rFonts w:ascii="Times New Roman" w:hAnsi="Times New Roman" w:cs="Times New Roman"/>
          <w:sz w:val="24"/>
          <w:szCs w:val="24"/>
          <w:lang w:val="hr-HR"/>
        </w:rPr>
        <w:t>usmjerene na re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pozicioni</w:t>
      </w:r>
      <w:r>
        <w:rPr>
          <w:rFonts w:ascii="Times New Roman" w:hAnsi="Times New Roman" w:cs="Times New Roman"/>
          <w:sz w:val="24"/>
          <w:szCs w:val="24"/>
          <w:lang w:val="hr-HR"/>
        </w:rPr>
        <w:t>ranje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Hrvatsk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na turističkim tržištima kao visokokvalitetn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destinacij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cjelogodišnjeg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autentičnog održivog turizma, a za čiju provedbu MINTS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i Hrvatska turistička zajednica svake godine sklapaju ugovor o sufinanciranju turističke promidžbe R</w:t>
      </w:r>
      <w:r>
        <w:rPr>
          <w:rFonts w:ascii="Times New Roman" w:hAnsi="Times New Roman" w:cs="Times New Roman"/>
          <w:sz w:val="24"/>
          <w:szCs w:val="24"/>
          <w:lang w:val="hr-HR"/>
        </w:rPr>
        <w:t>epublike Hrvatske</w:t>
      </w:r>
      <w:r w:rsidR="003121B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0A" w14:textId="77777777" w:rsidR="008929EE" w:rsidRPr="00D074F1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bi se doprinijelo s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tvaranj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boljih uvjeta života i rada</w:t>
      </w:r>
      <w:r>
        <w:rPr>
          <w:rFonts w:ascii="Times New Roman" w:hAnsi="Times New Roman" w:cs="Times New Roman"/>
          <w:sz w:val="24"/>
          <w:szCs w:val="24"/>
          <w:lang w:val="hr-HR"/>
        </w:rPr>
        <w:t>, MINTS</w:t>
      </w:r>
      <w:r w:rsidR="003F4E3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u suradnji s poslovnim bankama, definirao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platni instrument „Hrvatska turistička kartica“, </w:t>
      </w:r>
      <w:r w:rsidRPr="00BD158E">
        <w:rPr>
          <w:rFonts w:ascii="Times New Roman" w:hAnsi="Times New Roman" w:cs="Times New Roman"/>
          <w:sz w:val="24"/>
          <w:szCs w:val="24"/>
          <w:lang w:val="hr-HR"/>
        </w:rPr>
        <w:t>čime je građanima omogućeno povoljnije korištenje usluga smještaja i konzumacije hrane i pića u ugostiteljskim objektima, usluga putničkih agencija i turoperatora, paket aranžmana, boravka u objektima privatnih iznajmljivača te najam brodova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20DFF">
        <w:rPr>
          <w:rFonts w:ascii="Times New Roman" w:hAnsi="Times New Roman" w:cs="Times New Roman"/>
          <w:sz w:val="24"/>
          <w:szCs w:val="24"/>
          <w:lang w:val="hr-HR"/>
        </w:rPr>
        <w:t xml:space="preserve">a sve </w:t>
      </w:r>
      <w:r>
        <w:rPr>
          <w:rFonts w:ascii="Times New Roman" w:hAnsi="Times New Roman" w:cs="Times New Roman"/>
          <w:sz w:val="24"/>
          <w:szCs w:val="24"/>
          <w:lang w:val="hr-HR"/>
        </w:rPr>
        <w:t>kako bi se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podigla razina turističke aktivnosti</w:t>
      </w:r>
      <w:r w:rsidR="00211F2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0B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MINTS je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prepoznao planinarstvo kao dio aktivnog (rekreativnog) turizma koji doprinosi konkurentnosti i razvoju turističkih destinacija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>, kao i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poticanju razvoja održivog, otpornog, cjelogodišnjeg i regionalno uravnoteženijeg turizma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 je s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Hrvatski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planinarski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savez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HPS) 2022. godine sklopi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Sporazum o dugoročnoj suradnji na razvoju i uređenju planinarske in</w:t>
      </w:r>
      <w:r>
        <w:rPr>
          <w:rFonts w:ascii="Times New Roman" w:hAnsi="Times New Roman" w:cs="Times New Roman"/>
          <w:sz w:val="24"/>
          <w:szCs w:val="24"/>
          <w:lang w:val="hr-HR"/>
        </w:rPr>
        <w:t>frastrukture u funkciji turizma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. 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okviru 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Sporazuma </w:t>
      </w:r>
      <w:r>
        <w:rPr>
          <w:rFonts w:ascii="Times New Roman" w:hAnsi="Times New Roman" w:cs="Times New Roman"/>
          <w:sz w:val="24"/>
          <w:szCs w:val="24"/>
          <w:lang w:val="hr-HR"/>
        </w:rPr>
        <w:t>financira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razvoj i uređenje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planinarske infrastrukture u funkciji turizma </w:t>
      </w:r>
      <w:r>
        <w:rPr>
          <w:rFonts w:ascii="Times New Roman" w:hAnsi="Times New Roman" w:cs="Times New Roman"/>
          <w:sz w:val="24"/>
          <w:szCs w:val="24"/>
          <w:lang w:val="hr-HR"/>
        </w:rPr>
        <w:t>te obnova, uređenje i opremanje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postojećih prirodnih penjališta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>isti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provodio i tijekom 2023.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godine.</w:t>
      </w:r>
    </w:p>
    <w:p w14:paraId="2B2CCD0C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p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rioritetno područje 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azvoj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posebnih oblika turizma i strukturirani razvoj proizvoda</w:t>
      </w:r>
      <w:r>
        <w:rPr>
          <w:rFonts w:ascii="Times New Roman" w:hAnsi="Times New Roman" w:cs="Times New Roman"/>
          <w:sz w:val="24"/>
          <w:szCs w:val="24"/>
          <w:lang w:val="hr-HR"/>
        </w:rPr>
        <w:t>, MINTS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 i Ministarstvo zdravstva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tijekom 2023. godine radili su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>na daljnjem razvoju zdravstvenog turizma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kroz izradu niza pravilnika, 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koji su </w:t>
      </w:r>
      <w:r>
        <w:rPr>
          <w:rFonts w:ascii="Times New Roman" w:hAnsi="Times New Roman" w:cs="Times New Roman"/>
          <w:sz w:val="24"/>
          <w:szCs w:val="24"/>
          <w:lang w:val="hr-HR"/>
        </w:rPr>
        <w:t>doneseni početkom 2024. godine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>. Također,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zrađena 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 xml:space="preserve">je i </w:t>
      </w:r>
      <w:r w:rsidRPr="000A413F">
        <w:rPr>
          <w:rFonts w:ascii="Times New Roman" w:hAnsi="Times New Roman" w:cs="Times New Roman"/>
          <w:sz w:val="24"/>
          <w:szCs w:val="24"/>
          <w:lang w:val="hr-HR"/>
        </w:rPr>
        <w:t xml:space="preserve">Knjiga standarda zdravstvenog turizma sa smjernicama poslovne i digitalne implementacije i primjene s ciljem postizanja prepoznatljivog, originalnog, komunikativnog i suvremenog vizualnog identiteta zdravstvenog turizma Republike Hrvatske. </w:t>
      </w:r>
    </w:p>
    <w:p w14:paraId="2B2CCD0D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2D8A">
        <w:rPr>
          <w:rFonts w:ascii="Times New Roman" w:hAnsi="Times New Roman" w:cs="Times New Roman"/>
          <w:sz w:val="24"/>
          <w:szCs w:val="24"/>
          <w:lang w:val="hr-HR"/>
        </w:rPr>
        <w:t>U listopad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2022. godine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MINTS je objavio 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>Poziv „Regionalna diversifikacija i specijalizacija hrvatskog turizma kroz ulaganja u razvoj turističkih proizvoda visoke dodane vrijednosti“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okviru provedbe NPOO investicije C1.6.R1-I1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ukupne vrijednosti 123</w:t>
      </w:r>
      <w:r w:rsidR="00F661F2">
        <w:rPr>
          <w:rFonts w:ascii="Times New Roman" w:hAnsi="Times New Roman" w:cs="Times New Roman"/>
          <w:sz w:val="24"/>
          <w:szCs w:val="24"/>
          <w:lang w:val="hr-HR"/>
        </w:rPr>
        <w:t>,4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mil</w:t>
      </w:r>
      <w:r w:rsidR="00957A4D">
        <w:rPr>
          <w:rFonts w:ascii="Times New Roman" w:hAnsi="Times New Roman" w:cs="Times New Roman"/>
          <w:sz w:val="24"/>
          <w:szCs w:val="24"/>
          <w:lang w:val="hr-HR"/>
        </w:rPr>
        <w:t>ijuna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EUR.  Ulaganja će biti usmjerena na prilagodbu, odnosno zelenu i digitalnu tranziciju postojeće javne turističke infrastrukture u područjima s najvišim indeksom 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turističke razvijenosti, s ciljem povećanja njezine kvalitete, smanjenja utjecaja na okoliš te održivog upravljanja destinacijom i smanjenja prekomjernog turizma. </w:t>
      </w:r>
      <w:r>
        <w:rPr>
          <w:rFonts w:ascii="Times New Roman" w:hAnsi="Times New Roman" w:cs="Times New Roman"/>
          <w:sz w:val="24"/>
          <w:szCs w:val="24"/>
          <w:lang w:val="hr-HR"/>
        </w:rPr>
        <w:t>Nakon zatvaranja Poziva u ožujku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2023. godine, započela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evaluacija projekata i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postupak</w:t>
      </w:r>
      <w:r w:rsidRPr="00CF2D8A">
        <w:rPr>
          <w:rFonts w:ascii="Times New Roman" w:hAnsi="Times New Roman" w:cs="Times New Roman"/>
          <w:sz w:val="24"/>
          <w:szCs w:val="24"/>
          <w:lang w:val="hr-HR"/>
        </w:rPr>
        <w:t xml:space="preserve"> dodjele bespovratnih sredstava.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Provedba projekata trajat će do sredine 2025. godine.</w:t>
      </w:r>
    </w:p>
    <w:p w14:paraId="2B2CCD0E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580D">
        <w:rPr>
          <w:rFonts w:ascii="Times New Roman" w:hAnsi="Times New Roman" w:cs="Times New Roman"/>
          <w:sz w:val="24"/>
          <w:szCs w:val="24"/>
          <w:lang w:val="hr-HR"/>
        </w:rPr>
        <w:t xml:space="preserve">Učinci </w:t>
      </w:r>
      <w:r>
        <w:rPr>
          <w:rFonts w:ascii="Times New Roman" w:hAnsi="Times New Roman" w:cs="Times New Roman"/>
          <w:sz w:val="24"/>
          <w:szCs w:val="24"/>
          <w:lang w:val="hr-HR"/>
        </w:rPr>
        <w:t>provedbe brojnih aktivnosti usmjerenih na ostvarenje strateških ciljeva</w:t>
      </w:r>
      <w:r w:rsidRPr="00F0580D">
        <w:rPr>
          <w:rFonts w:ascii="Times New Roman" w:hAnsi="Times New Roman" w:cs="Times New Roman"/>
          <w:sz w:val="24"/>
          <w:szCs w:val="24"/>
          <w:lang w:val="hr-HR"/>
        </w:rPr>
        <w:t xml:space="preserve"> Strategije za razdoblja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izvan glavne turističke sezone</w:t>
      </w:r>
      <w:r w:rsidRPr="00F0580D">
        <w:rPr>
          <w:rFonts w:ascii="Times New Roman" w:hAnsi="Times New Roman" w:cs="Times New Roman"/>
          <w:sz w:val="24"/>
          <w:szCs w:val="24"/>
          <w:lang w:val="hr-HR"/>
        </w:rPr>
        <w:t xml:space="preserve"> kao i za razvoj područja </w:t>
      </w:r>
      <w:r>
        <w:rPr>
          <w:rFonts w:ascii="Times New Roman" w:hAnsi="Times New Roman" w:cs="Times New Roman"/>
          <w:sz w:val="24"/>
          <w:szCs w:val="24"/>
          <w:lang w:val="hr-HR"/>
        </w:rPr>
        <w:t>manje</w:t>
      </w:r>
      <w:r w:rsidRPr="00F0580D">
        <w:rPr>
          <w:rFonts w:ascii="Times New Roman" w:hAnsi="Times New Roman" w:cs="Times New Roman"/>
          <w:sz w:val="24"/>
          <w:szCs w:val="24"/>
          <w:lang w:val="hr-HR"/>
        </w:rPr>
        <w:t xml:space="preserve"> turističke razvijenosti tek će se osjetiti u idućem razdoblju u smislu pozitivnog djelovanja na ostvarenje planiranih stopa rasta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definiranih pokazatelja</w:t>
      </w:r>
      <w:r w:rsidRPr="00F058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0F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0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1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2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3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4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5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6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7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8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9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A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B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C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D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E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1F" w14:textId="77777777" w:rsidR="008929EE" w:rsidRDefault="008929EE" w:rsidP="00892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20" w14:textId="77777777" w:rsidR="008929EE" w:rsidRDefault="008929EE" w:rsidP="008929EE">
      <w:pPr>
        <w:pStyle w:val="Heading1"/>
        <w:numPr>
          <w:ilvl w:val="0"/>
          <w:numId w:val="1"/>
        </w:numPr>
        <w:rPr>
          <w:lang w:val="hr-HR"/>
        </w:rPr>
      </w:pPr>
      <w:bookmarkStart w:id="5" w:name="_Toc168993957"/>
      <w:r>
        <w:rPr>
          <w:lang w:val="hr-HR"/>
        </w:rPr>
        <w:t>Turizam uz očuvan okoliš, prostor i klimu</w:t>
      </w:r>
      <w:bookmarkEnd w:id="5"/>
    </w:p>
    <w:p w14:paraId="2B2CCD21" w14:textId="77777777" w:rsidR="008929EE" w:rsidRDefault="008929EE" w:rsidP="008929EE">
      <w:pPr>
        <w:pStyle w:val="Heading2"/>
        <w:rPr>
          <w:lang w:val="hr-HR"/>
        </w:rPr>
      </w:pPr>
      <w:bookmarkStart w:id="6" w:name="_Toc168993958"/>
      <w:r>
        <w:rPr>
          <w:lang w:val="hr-HR"/>
        </w:rPr>
        <w:t>2.1. Ostvarene vrijednosti pokazatelja uspješnosti</w:t>
      </w:r>
      <w:bookmarkEnd w:id="6"/>
    </w:p>
    <w:p w14:paraId="2B2CCD22" w14:textId="77777777" w:rsidR="008929EE" w:rsidRDefault="008929EE" w:rsidP="008929EE">
      <w:pPr>
        <w:rPr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844"/>
        <w:gridCol w:w="2551"/>
        <w:gridCol w:w="2268"/>
      </w:tblGrid>
      <w:tr w:rsidR="008929EE" w:rsidRPr="00277D5D" w14:paraId="2B2CCD27" w14:textId="77777777" w:rsidTr="00CB171A">
        <w:tc>
          <w:tcPr>
            <w:tcW w:w="2830" w:type="dxa"/>
            <w:shd w:val="clear" w:color="auto" w:fill="D0CECE" w:themeFill="background2" w:themeFillShade="E6"/>
          </w:tcPr>
          <w:p w14:paraId="2B2CCD23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Pokazatelj učinka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24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2B2CCD25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Ciljna vrijednost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26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Ostvarena vrijednost, godina podatka</w:t>
            </w:r>
          </w:p>
        </w:tc>
      </w:tr>
      <w:tr w:rsidR="008929EE" w:rsidRPr="00A47AA3" w14:paraId="2B2CCD2F" w14:textId="77777777" w:rsidTr="00CB171A">
        <w:trPr>
          <w:trHeight w:val="21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28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Indeks razvoja putovanja i turizma (TTDI-WEF) – okolišna održivost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2CCD29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  <w:r w:rsidR="00F661F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2A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≤ 15. mjesta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2B" w14:textId="77777777" w:rsidR="008929EE" w:rsidRPr="00A47AA3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2CCD2C" w14:textId="77777777" w:rsidR="008929EE" w:rsidRPr="00A47AA3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2CCD2D" w14:textId="77777777" w:rsidR="008929EE" w:rsidRPr="00A47AA3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2CCD2E" w14:textId="77777777" w:rsidR="008929EE" w:rsidRPr="003D7B4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47A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E012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E01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929EE" w:rsidRPr="00A47AA3" w14:paraId="2B2CCD36" w14:textId="77777777" w:rsidTr="00CB171A">
        <w:trPr>
          <w:trHeight w:val="12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30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Emisije CO2 u zrak prema NACE (revizija II) aktivnostima u turizmu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2CCD31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46196 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32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27717 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33" w14:textId="77777777" w:rsidR="008929EE" w:rsidRPr="00A47AA3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2CCD34" w14:textId="77777777" w:rsidR="008929EE" w:rsidRPr="00A47AA3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2CCD35" w14:textId="77777777" w:rsidR="008929EE" w:rsidRPr="003D7B4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47423</w:t>
            </w:r>
            <w:r w:rsidRPr="00A47A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(2022.)</w:t>
            </w:r>
          </w:p>
        </w:tc>
      </w:tr>
    </w:tbl>
    <w:p w14:paraId="2B2CCD37" w14:textId="77777777" w:rsidR="008929EE" w:rsidRPr="000A49B5" w:rsidRDefault="008929EE" w:rsidP="008929EE">
      <w:pPr>
        <w:rPr>
          <w:i/>
          <w:lang w:val="hr-HR"/>
        </w:rPr>
      </w:pPr>
    </w:p>
    <w:p w14:paraId="2B2CCD38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Prema posljednjim dostupnim podacima </w:t>
      </w:r>
      <w:r w:rsidR="00787800" w:rsidRPr="004A2329">
        <w:rPr>
          <w:rFonts w:ascii="Times New Roman" w:hAnsi="Times New Roman" w:cs="Times New Roman"/>
          <w:sz w:val="24"/>
          <w:szCs w:val="24"/>
          <w:lang w:val="hr-HR"/>
        </w:rPr>
        <w:t>Svjetskog gospodarskog foruma za</w:t>
      </w:r>
      <w:r w:rsidR="00787800" w:rsidRPr="004A2329">
        <w:rPr>
          <w:lang w:val="hr-HR"/>
        </w:rPr>
        <w:t xml:space="preserve"> </w:t>
      </w:r>
      <w:r w:rsidR="00787800"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Indeks razvoja putovanja i turizma (TTDI-WEF) 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>iz 202</w:t>
      </w:r>
      <w:r w:rsidR="00E01226" w:rsidRPr="004A232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>. g</w:t>
      </w:r>
      <w:r w:rsidR="00787800"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odine, a vezano uz područje okolišne 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>održivost</w:t>
      </w:r>
      <w:r w:rsidR="00787800" w:rsidRPr="004A232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>, Republika Hrvatska</w:t>
      </w:r>
      <w:r w:rsidRPr="004A2329">
        <w:rPr>
          <w:rStyle w:val="FootnoteReference"/>
          <w:rFonts w:ascii="Times New Roman" w:hAnsi="Times New Roman" w:cs="Times New Roman"/>
          <w:sz w:val="24"/>
          <w:szCs w:val="24"/>
          <w:lang w:val="hr-HR"/>
        </w:rPr>
        <w:footnoteReference w:id="8"/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F661F2">
        <w:rPr>
          <w:rFonts w:ascii="Times New Roman" w:hAnsi="Times New Roman" w:cs="Times New Roman"/>
          <w:sz w:val="24"/>
          <w:szCs w:val="24"/>
          <w:lang w:val="hr-HR"/>
        </w:rPr>
        <w:t>nalazi na 2</w:t>
      </w:r>
      <w:r w:rsidR="00E01226" w:rsidRPr="00F661F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661F2">
        <w:rPr>
          <w:rFonts w:ascii="Times New Roman" w:hAnsi="Times New Roman" w:cs="Times New Roman"/>
          <w:sz w:val="24"/>
          <w:szCs w:val="24"/>
          <w:lang w:val="hr-HR"/>
        </w:rPr>
        <w:t xml:space="preserve">. mjestu, </w:t>
      </w:r>
      <w:r w:rsidR="004A2329" w:rsidRPr="00F661F2">
        <w:rPr>
          <w:rFonts w:ascii="Times New Roman" w:hAnsi="Times New Roman" w:cs="Times New Roman"/>
          <w:sz w:val="24"/>
          <w:szCs w:val="24"/>
          <w:lang w:val="hr-HR"/>
        </w:rPr>
        <w:t>što</w:t>
      </w:r>
      <w:r w:rsidR="004A2329"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>predstavlja određeni izazov s obzirom da su instrumenti i mjere politike definirane Strategijom tek u začetku svoje primjene, a neki još u razvoju.</w:t>
      </w:r>
      <w:r w:rsidRPr="000A49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39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51E90">
        <w:rPr>
          <w:rFonts w:ascii="Times New Roman" w:hAnsi="Times New Roman" w:cs="Times New Roman"/>
          <w:sz w:val="24"/>
          <w:szCs w:val="24"/>
          <w:lang w:val="hr-HR"/>
        </w:rPr>
        <w:t>U cilju ostvarivanja ciljeva iz Agende 2030, ciljeva iz Europskog zelenog plana i Nacionalne razvojne strategije Republike Hrvatske do 2030. godine, Strategijom razvoja održivog turizma R</w:t>
      </w:r>
      <w:r>
        <w:rPr>
          <w:rFonts w:ascii="Times New Roman" w:hAnsi="Times New Roman" w:cs="Times New Roman"/>
          <w:sz w:val="24"/>
          <w:szCs w:val="24"/>
          <w:lang w:val="hr-HR"/>
        </w:rPr>
        <w:t>epublike Hrvatske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do 2030.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predviđeno je osnaživanje zakonskog okvira u sektoru turizma</w:t>
      </w:r>
      <w:r>
        <w:rPr>
          <w:rFonts w:ascii="Times New Roman" w:hAnsi="Times New Roman" w:cs="Times New Roman"/>
          <w:sz w:val="24"/>
          <w:szCs w:val="24"/>
          <w:lang w:val="hr-HR"/>
        </w:rPr>
        <w:t>, slijedom čega je tijekom 2023. godine donesen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prvi hrvatski Zakon o turizmu (</w:t>
      </w:r>
      <w:r>
        <w:rPr>
          <w:rFonts w:ascii="Times New Roman" w:hAnsi="Times New Roman" w:cs="Times New Roman"/>
          <w:sz w:val="24"/>
          <w:szCs w:val="24"/>
          <w:lang w:val="hr-HR"/>
        </w:rPr>
        <w:t>„Narodne novine“ br.</w:t>
      </w:r>
      <w:r w:rsidR="00D74C9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156/23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 je stupio na snagu 1. siječnja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2024.</w:t>
      </w:r>
      <w:r w:rsidR="006C3AF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7D05">
        <w:rPr>
          <w:rFonts w:ascii="Times New Roman" w:hAnsi="Times New Roman" w:cs="Times New Roman"/>
          <w:sz w:val="24"/>
          <w:szCs w:val="24"/>
          <w:lang w:val="hr-HR"/>
        </w:rPr>
        <w:t xml:space="preserve">Temeljem spomenutog Zakona, 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 xml:space="preserve">tijekom 2023. godine izrađivali su se </w:t>
      </w:r>
      <w:r w:rsidRPr="001A7D05">
        <w:rPr>
          <w:rFonts w:ascii="Times New Roman" w:hAnsi="Times New Roman" w:cs="Times New Roman"/>
          <w:sz w:val="24"/>
          <w:szCs w:val="24"/>
          <w:lang w:val="hr-HR"/>
        </w:rPr>
        <w:t>Uredba o poticanju ulaganja u turizmu te pet pravilnika: Pravilnik o pokazateljima za praćenje razvoja i održivosti turizma, Pravilnik o metodologiji izračuna prihvatnog kapaciteta, Pravilnik o načinu unošenja i pristupa podacima integriranog informacijskog sustava turizma, Pravilnik o metodologiji izrade plana upravljanja destinacijom i Pra</w:t>
      </w:r>
      <w:r w:rsidRPr="001A7D05">
        <w:rPr>
          <w:rFonts w:ascii="Times New Roman" w:hAnsi="Times New Roman" w:cs="Times New Roman"/>
          <w:sz w:val="24"/>
          <w:szCs w:val="24"/>
          <w:lang w:val="hr-HR"/>
        </w:rPr>
        <w:lastRenderedPageBreak/>
        <w:t>vilnik o praćenju učinka potpora u turizmu, čime će se unaprijediti provedba i postizanje ciljeva zacrtanih predmetnom Strategijom, do 2030. godine.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 xml:space="preserve"> Vlada Republike Hrvatske </w:t>
      </w:r>
      <w:r w:rsidR="009332ED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>na sjednici održanoj 28. ožujka 2024. donijela Uredbu</w:t>
      </w:r>
      <w:r w:rsidR="00155DE6" w:rsidRPr="001A7D05">
        <w:rPr>
          <w:rFonts w:ascii="Times New Roman" w:hAnsi="Times New Roman" w:cs="Times New Roman"/>
          <w:sz w:val="24"/>
          <w:szCs w:val="24"/>
          <w:lang w:val="hr-HR"/>
        </w:rPr>
        <w:t xml:space="preserve"> o poticanju ulaganja u turizmu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 xml:space="preserve"> (Narodne novine 39/2024)</w:t>
      </w:r>
      <w:r w:rsidR="004A2329">
        <w:rPr>
          <w:rFonts w:ascii="Times New Roman" w:hAnsi="Times New Roman" w:cs="Times New Roman"/>
          <w:sz w:val="24"/>
          <w:szCs w:val="24"/>
          <w:lang w:val="hr-HR"/>
        </w:rPr>
        <w:t xml:space="preserve"> dok su pravilnici u finalnoj fazi izrade</w:t>
      </w:r>
      <w:r w:rsidR="00155DE6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14:paraId="2B2CCD3A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51E90">
        <w:rPr>
          <w:rFonts w:ascii="Times New Roman" w:hAnsi="Times New Roman" w:cs="Times New Roman"/>
          <w:sz w:val="24"/>
          <w:szCs w:val="24"/>
          <w:lang w:val="hr-HR"/>
        </w:rPr>
        <w:t>Turizam je na globalno</w:t>
      </w:r>
      <w:r>
        <w:rPr>
          <w:rFonts w:ascii="Times New Roman" w:hAnsi="Times New Roman" w:cs="Times New Roman"/>
          <w:sz w:val="24"/>
          <w:szCs w:val="24"/>
          <w:lang w:val="hr-HR"/>
        </w:rPr>
        <w:t>j razini odgovoran za udio od 8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% ukupnih svjetskih emisija CO₂. U R</w:t>
      </w:r>
      <w:r>
        <w:rPr>
          <w:rFonts w:ascii="Times New Roman" w:hAnsi="Times New Roman" w:cs="Times New Roman"/>
          <w:sz w:val="24"/>
          <w:szCs w:val="24"/>
          <w:lang w:val="hr-HR"/>
        </w:rPr>
        <w:t>epublici Hrvatskoj,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rema posljednje dostupnim podacima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2022. godine,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emisije CO</w:t>
      </w:r>
      <w:r w:rsidRPr="00B51E90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2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u zrak prema NACE (rev. 2) aktivnosti u turizmu (sektor I) iznosile su iznosile 47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423,44 t CO</w:t>
      </w:r>
      <w:r w:rsidRPr="00B51E90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2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, što je u odnosu na 2019.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godinu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povećanje za 1,32 t CO</w:t>
      </w:r>
      <w:r w:rsidRPr="00B51E90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2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3B0197">
        <w:rPr>
          <w:rFonts w:ascii="Times New Roman" w:hAnsi="Times New Roman" w:cs="Times New Roman"/>
          <w:sz w:val="24"/>
          <w:szCs w:val="24"/>
          <w:lang w:val="hr-HR"/>
        </w:rPr>
        <w:t>S ciljem smanjenja štetnih emisija</w:t>
      </w:r>
      <w:r w:rsidR="003B019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B0197">
        <w:rPr>
          <w:rFonts w:ascii="Times New Roman" w:hAnsi="Times New Roman" w:cs="Times New Roman"/>
          <w:sz w:val="24"/>
          <w:szCs w:val="24"/>
          <w:lang w:val="hr-HR"/>
        </w:rPr>
        <w:t xml:space="preserve"> u okviru </w:t>
      </w:r>
      <w:r w:rsidR="00787800">
        <w:rPr>
          <w:rFonts w:ascii="Times New Roman" w:hAnsi="Times New Roman" w:cs="Times New Roman"/>
          <w:sz w:val="24"/>
          <w:szCs w:val="24"/>
          <w:lang w:val="hr-HR"/>
        </w:rPr>
        <w:t>NPOO-a</w:t>
      </w:r>
      <w:r w:rsidR="003B019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B0197">
        <w:rPr>
          <w:rFonts w:ascii="Times New Roman" w:hAnsi="Times New Roman" w:cs="Times New Roman"/>
          <w:sz w:val="24"/>
          <w:szCs w:val="24"/>
          <w:lang w:val="hr-HR"/>
        </w:rPr>
        <w:t xml:space="preserve"> predviđeno je sufinanciranje nisko-ugljičnih infrastrukturnih projekata </w:t>
      </w:r>
      <w:r w:rsidR="00787800">
        <w:rPr>
          <w:rFonts w:ascii="Times New Roman" w:hAnsi="Times New Roman" w:cs="Times New Roman"/>
          <w:sz w:val="24"/>
          <w:szCs w:val="24"/>
          <w:lang w:val="hr-HR"/>
        </w:rPr>
        <w:t xml:space="preserve">koji će se realizirati u narednom razdoblju i </w:t>
      </w:r>
      <w:r w:rsidR="003B0197">
        <w:rPr>
          <w:rFonts w:ascii="Times New Roman" w:hAnsi="Times New Roman" w:cs="Times New Roman"/>
          <w:sz w:val="24"/>
          <w:szCs w:val="24"/>
          <w:lang w:val="hr-HR"/>
        </w:rPr>
        <w:t xml:space="preserve">doprinijeti </w:t>
      </w:r>
      <w:r w:rsidR="00787800">
        <w:rPr>
          <w:rFonts w:ascii="Times New Roman" w:hAnsi="Times New Roman" w:cs="Times New Roman"/>
          <w:sz w:val="24"/>
          <w:szCs w:val="24"/>
          <w:lang w:val="hr-HR"/>
        </w:rPr>
        <w:t>smanjenju</w:t>
      </w:r>
      <w:r w:rsidR="003B0197">
        <w:rPr>
          <w:rFonts w:ascii="Times New Roman" w:hAnsi="Times New Roman" w:cs="Times New Roman"/>
          <w:sz w:val="24"/>
          <w:szCs w:val="24"/>
          <w:lang w:val="hr-HR"/>
        </w:rPr>
        <w:t xml:space="preserve"> štetnih emisija</w:t>
      </w:r>
      <w:r w:rsidR="007878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7800" w:rsidRPr="00B51E90">
        <w:rPr>
          <w:rFonts w:ascii="Times New Roman" w:hAnsi="Times New Roman" w:cs="Times New Roman"/>
          <w:sz w:val="24"/>
          <w:szCs w:val="24"/>
          <w:lang w:val="hr-HR"/>
        </w:rPr>
        <w:t>CO</w:t>
      </w:r>
      <w:r w:rsidR="00787800" w:rsidRPr="00B51E90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2</w:t>
      </w:r>
      <w:r w:rsidR="00787800"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u zrak</w:t>
      </w:r>
      <w:r w:rsidR="003B019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019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7800">
        <w:rPr>
          <w:rFonts w:ascii="Times New Roman" w:hAnsi="Times New Roman" w:cs="Times New Roman"/>
          <w:sz w:val="24"/>
          <w:szCs w:val="24"/>
          <w:lang w:val="hr-HR"/>
        </w:rPr>
        <w:t xml:space="preserve">Neizravan </w:t>
      </w: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oprinos smanjenju emisija iz turističkog sektora, koji se planira postići u kratkoročnom razdoblju, očekuje se i od provedbe radionica „Jačanje otpornosti turizma na klimatske promjene“. MINTS je od 2022.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do danas proveo ukupno 8 radionica, od čega 5 u 2023.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 w:rsidR="00D74C9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>, na kojima je educirano ukupno 532 turističkih djelatnika, vlasnika i menadžera u turizmu, djelatnika turističkih zajednica, javnih ustanova za zaštitu prirode, projektanata svih struka, učenika</w:t>
      </w:r>
      <w:r w:rsidR="00D74C93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B51E90">
        <w:rPr>
          <w:rFonts w:ascii="Times New Roman" w:hAnsi="Times New Roman" w:cs="Times New Roman"/>
          <w:sz w:val="24"/>
          <w:szCs w:val="24"/>
          <w:lang w:val="hr-HR"/>
        </w:rPr>
        <w:t xml:space="preserve"> studenata, uključujući i zainteresiranu javnost</w:t>
      </w:r>
      <w:r w:rsidRPr="001A01EF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3B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Dodatno, s ciljem smanjenja</w:t>
      </w:r>
      <w:r w:rsidRPr="000A49B5">
        <w:rPr>
          <w:rFonts w:ascii="Times New Roman" w:hAnsi="Times New Roman" w:cs="Times New Roman"/>
          <w:sz w:val="24"/>
          <w:szCs w:val="24"/>
          <w:lang w:val="hr-HR"/>
        </w:rPr>
        <w:t xml:space="preserve"> opterećenja iz turizma na sastavnice okoliša i prirodu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A49B5">
        <w:rPr>
          <w:rFonts w:ascii="Times New Roman" w:hAnsi="Times New Roman" w:cs="Times New Roman"/>
          <w:sz w:val="24"/>
          <w:szCs w:val="24"/>
          <w:lang w:val="hr-HR"/>
        </w:rPr>
        <w:t xml:space="preserve">Hrvatska turistička zajednica je s </w:t>
      </w:r>
      <w:r>
        <w:rPr>
          <w:rFonts w:ascii="Times New Roman" w:hAnsi="Times New Roman" w:cs="Times New Roman"/>
          <w:sz w:val="24"/>
          <w:szCs w:val="24"/>
          <w:lang w:val="hr-HR"/>
        </w:rPr>
        <w:t>MINTS-om</w:t>
      </w:r>
      <w:r w:rsidRPr="000A49B5">
        <w:rPr>
          <w:rFonts w:ascii="Times New Roman" w:hAnsi="Times New Roman" w:cs="Times New Roman"/>
          <w:sz w:val="24"/>
          <w:szCs w:val="24"/>
          <w:lang w:val="hr-HR"/>
        </w:rPr>
        <w:t xml:space="preserve"> krajem 2022. godine sklopila Sporazum o međusobnoj suradnji u okviru Projekta poticanja održivog razvoja turizma „Hrvatska prirodno tvoja – Croatia naturally yours“. Nastavno na sklopljeni Sporazum, HTZ provodi aktivnosti sadnje dodatnih sadnica stabala u destinacijama za kompenzaciju emisija automobilskih turističkih posjeta Republici Hrvatskoj. Pored aktivnosti sadnje dodatnih sadnica stabala, u okviru projekta „Hrvatska prirodno tvoja – Croatia naturally yours“, provode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0A49B5">
        <w:rPr>
          <w:rFonts w:ascii="Times New Roman" w:hAnsi="Times New Roman" w:cs="Times New Roman"/>
          <w:sz w:val="24"/>
          <w:szCs w:val="24"/>
          <w:lang w:val="hr-HR"/>
        </w:rPr>
        <w:t xml:space="preserve"> i ostale aktivnosti promocije održivog razvoja turističkih destinacija te primjene načela zelene i digitalne tranzicije.</w:t>
      </w:r>
    </w:p>
    <w:p w14:paraId="2B2CCD3C" w14:textId="77777777" w:rsidR="008929EE" w:rsidRDefault="008929EE" w:rsidP="008929EE">
      <w:pPr>
        <w:rPr>
          <w:rFonts w:ascii="Times New Roman" w:eastAsiaTheme="majorEastAsia" w:hAnsi="Times New Roman" w:cstheme="majorBidi"/>
          <w:b/>
          <w:sz w:val="24"/>
          <w:szCs w:val="40"/>
          <w:lang w:val="hr-HR"/>
        </w:rPr>
      </w:pPr>
      <w:r>
        <w:rPr>
          <w:lang w:val="hr-HR"/>
        </w:rPr>
        <w:br w:type="page"/>
      </w:r>
    </w:p>
    <w:p w14:paraId="2B2CCD3D" w14:textId="77777777" w:rsidR="008929EE" w:rsidRDefault="008929EE" w:rsidP="008929EE">
      <w:pPr>
        <w:pStyle w:val="Heading1"/>
        <w:rPr>
          <w:lang w:val="hr-HR"/>
        </w:rPr>
      </w:pPr>
      <w:bookmarkStart w:id="7" w:name="_Toc168993959"/>
      <w:r>
        <w:rPr>
          <w:lang w:val="hr-HR"/>
        </w:rPr>
        <w:lastRenderedPageBreak/>
        <w:t>3. Konkurentan i inovativan turizam</w:t>
      </w:r>
      <w:bookmarkEnd w:id="7"/>
    </w:p>
    <w:p w14:paraId="2B2CCD3E" w14:textId="77777777" w:rsidR="008929EE" w:rsidRPr="004F3564" w:rsidRDefault="008929EE" w:rsidP="008929EE">
      <w:pPr>
        <w:pStyle w:val="Heading2"/>
        <w:rPr>
          <w:lang w:val="hr-HR"/>
        </w:rPr>
      </w:pPr>
      <w:bookmarkStart w:id="8" w:name="_Toc168993960"/>
      <w:r>
        <w:rPr>
          <w:lang w:val="hr-HR"/>
        </w:rPr>
        <w:t xml:space="preserve">3.1. </w:t>
      </w:r>
      <w:r w:rsidRPr="004F3564">
        <w:rPr>
          <w:lang w:val="hr-HR"/>
        </w:rPr>
        <w:t>Ostvarene vrijednosti pokazatelja uspješnosti</w:t>
      </w:r>
      <w:bookmarkEnd w:id="8"/>
    </w:p>
    <w:p w14:paraId="2B2CCD3F" w14:textId="77777777" w:rsidR="008929EE" w:rsidRPr="004F3564" w:rsidRDefault="008929EE" w:rsidP="008929EE">
      <w:pPr>
        <w:rPr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844"/>
        <w:gridCol w:w="2551"/>
        <w:gridCol w:w="2268"/>
      </w:tblGrid>
      <w:tr w:rsidR="008929EE" w:rsidRPr="00277D5D" w14:paraId="2B2CCD44" w14:textId="77777777" w:rsidTr="00CB171A">
        <w:tc>
          <w:tcPr>
            <w:tcW w:w="2830" w:type="dxa"/>
            <w:shd w:val="clear" w:color="auto" w:fill="D0CECE" w:themeFill="background2" w:themeFillShade="E6"/>
          </w:tcPr>
          <w:p w14:paraId="2B2CCD40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Pokazatelj učinka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41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2B2CCD42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Ciljna vrijednost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43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Ostvarena vrijednost, godina podatka</w:t>
            </w:r>
          </w:p>
        </w:tc>
      </w:tr>
      <w:tr w:rsidR="008929EE" w14:paraId="2B2CCD54" w14:textId="77777777" w:rsidTr="00CB171A">
        <w:trPr>
          <w:trHeight w:val="2142"/>
        </w:trPr>
        <w:tc>
          <w:tcPr>
            <w:tcW w:w="2830" w:type="dxa"/>
          </w:tcPr>
          <w:p w14:paraId="2B2CCD45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46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47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Ukupni indeks razvoja putovanja i turizma (TTDI – WEF)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48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49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4A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4B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2551" w:type="dxa"/>
          </w:tcPr>
          <w:p w14:paraId="2B2CCD4C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2B2CCD4D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2B2CCD4E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2B2CCD4F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≤ 35. mjesta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50" w14:textId="77777777" w:rsidR="008929EE" w:rsidRDefault="008929EE" w:rsidP="00CB171A">
            <w:pPr>
              <w:rPr>
                <w:lang w:val="hr-HR"/>
              </w:rPr>
            </w:pPr>
          </w:p>
          <w:p w14:paraId="2B2CCD51" w14:textId="77777777" w:rsidR="008929EE" w:rsidRDefault="008929EE" w:rsidP="00CB171A">
            <w:pPr>
              <w:rPr>
                <w:lang w:val="hr-HR"/>
              </w:rPr>
            </w:pPr>
          </w:p>
          <w:p w14:paraId="2B2CCD52" w14:textId="77777777" w:rsidR="008929EE" w:rsidRDefault="008929EE" w:rsidP="00CB171A">
            <w:pPr>
              <w:rPr>
                <w:lang w:val="hr-HR"/>
              </w:rPr>
            </w:pPr>
          </w:p>
          <w:p w14:paraId="2B2CCD53" w14:textId="77777777" w:rsidR="008929EE" w:rsidRPr="00F362D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362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(202</w:t>
            </w:r>
            <w:r w:rsidR="00E012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.)</w:t>
            </w:r>
          </w:p>
        </w:tc>
      </w:tr>
      <w:tr w:rsidR="008929EE" w14:paraId="2B2CCD64" w14:textId="77777777" w:rsidTr="00CB171A">
        <w:trPr>
          <w:trHeight w:val="1664"/>
        </w:trPr>
        <w:tc>
          <w:tcPr>
            <w:tcW w:w="2830" w:type="dxa"/>
          </w:tcPr>
          <w:p w14:paraId="2B2CCD55" w14:textId="77777777" w:rsidR="008929EE" w:rsidRPr="000A33F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6" w14:textId="77777777" w:rsidR="008929EE" w:rsidRPr="000A33F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7" w14:textId="77777777" w:rsidR="008929EE" w:rsidRPr="000A33F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33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 po stranom noćenju u odnosu na prosjek EU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58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9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A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B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57%</w:t>
            </w:r>
          </w:p>
        </w:tc>
        <w:tc>
          <w:tcPr>
            <w:tcW w:w="2551" w:type="dxa"/>
          </w:tcPr>
          <w:p w14:paraId="2B2CCD5C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D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E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5F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%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60" w14:textId="77777777" w:rsidR="008929EE" w:rsidRPr="0080722A" w:rsidRDefault="008929EE" w:rsidP="00CB171A">
            <w:pPr>
              <w:rPr>
                <w:lang w:val="hr-HR"/>
              </w:rPr>
            </w:pPr>
          </w:p>
          <w:p w14:paraId="2B2CCD61" w14:textId="77777777" w:rsidR="008929EE" w:rsidRPr="0080722A" w:rsidRDefault="008929EE" w:rsidP="00CB171A">
            <w:pPr>
              <w:rPr>
                <w:lang w:val="hr-HR"/>
              </w:rPr>
            </w:pPr>
          </w:p>
          <w:p w14:paraId="2B2CCD62" w14:textId="77777777" w:rsidR="008929EE" w:rsidRPr="0080722A" w:rsidRDefault="008929EE" w:rsidP="00CB171A">
            <w:pPr>
              <w:rPr>
                <w:lang w:val="hr-HR"/>
              </w:rPr>
            </w:pPr>
          </w:p>
          <w:p w14:paraId="2B2CCD63" w14:textId="77777777" w:rsidR="008929EE" w:rsidRPr="0080722A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72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podaci nisu dostupni</w:t>
            </w:r>
          </w:p>
        </w:tc>
      </w:tr>
      <w:tr w:rsidR="008929EE" w14:paraId="2B2CCD6F" w14:textId="77777777" w:rsidTr="00CB171A">
        <w:trPr>
          <w:trHeight w:val="1702"/>
        </w:trPr>
        <w:tc>
          <w:tcPr>
            <w:tcW w:w="2830" w:type="dxa"/>
          </w:tcPr>
          <w:p w14:paraId="2B2CCD65" w14:textId="77777777" w:rsidR="008929EE" w:rsidRPr="000A33F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66" w14:textId="77777777" w:rsidR="008929EE" w:rsidRPr="000A33F7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33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Bruto dodana vrijednost po zaposlenome u djelatnosti i u odnosu na prosjek EU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67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68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69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81,8 </w:t>
            </w: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%</w:t>
            </w:r>
          </w:p>
        </w:tc>
        <w:tc>
          <w:tcPr>
            <w:tcW w:w="2551" w:type="dxa"/>
          </w:tcPr>
          <w:p w14:paraId="2B2CCD6A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6B" w14:textId="77777777" w:rsidR="008929EE" w:rsidRPr="00DC670C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100%</w:t>
            </w:r>
            <w:r w:rsidRPr="00DC6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  <w:t>(Dostignuti prosjek EU)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B2CCD6C" w14:textId="77777777" w:rsidR="003A5522" w:rsidRDefault="003A5522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CCD6D" w14:textId="77777777" w:rsidR="008929EE" w:rsidRPr="0080722A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72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set podataka ukinut od  21/07/2023</w:t>
            </w:r>
          </w:p>
          <w:p w14:paraId="2B2CCD6E" w14:textId="77777777" w:rsidR="008929EE" w:rsidRPr="0080722A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2CCD70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71" w14:textId="77777777" w:rsidR="008929EE" w:rsidRDefault="003A5522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Prema posljednjim raspoloživim podacima </w:t>
      </w:r>
      <w:r w:rsidRPr="002214B5">
        <w:rPr>
          <w:rFonts w:ascii="Times New Roman" w:hAnsi="Times New Roman" w:cs="Times New Roman"/>
          <w:sz w:val="24"/>
          <w:szCs w:val="24"/>
          <w:lang w:val="hr-HR"/>
        </w:rPr>
        <w:t>Svjetskog</w:t>
      </w:r>
      <w:r w:rsidRPr="003A5522">
        <w:rPr>
          <w:rFonts w:ascii="Times New Roman" w:hAnsi="Times New Roman" w:cs="Times New Roman"/>
          <w:sz w:val="24"/>
          <w:szCs w:val="24"/>
          <w:lang w:val="hr-HR"/>
        </w:rPr>
        <w:t xml:space="preserve"> gospodarskog foruma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Ukupni indeks razvoja putovanja i turizma </w:t>
      </w:r>
      <w:r w:rsidRPr="003A5522">
        <w:rPr>
          <w:rFonts w:ascii="Times New Roman" w:hAnsi="Times New Roman" w:cs="Times New Roman"/>
          <w:sz w:val="24"/>
          <w:szCs w:val="24"/>
          <w:lang w:val="hr-HR"/>
        </w:rPr>
        <w:t>(TTDI-WEF)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2024. godine, Hrvatska je trenutno na 46. mjestu</w:t>
      </w:r>
      <w:r w:rsidRPr="002214B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929EE" w:rsidRPr="002214B5">
        <w:rPr>
          <w:rFonts w:ascii="Times New Roman" w:hAnsi="Times New Roman" w:cs="Times New Roman"/>
          <w:sz w:val="24"/>
          <w:szCs w:val="24"/>
          <w:lang w:val="hr-HR"/>
        </w:rPr>
        <w:t>Za pokazatelj Prihod po stranom noćenju u odnosu na prosjek EU, koji je kompozitni pokazatelj, još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 uvijek nema dostupnih podataka nakon postavljanja početne vrijednosti iz 2019. godine, dok je za pokazatelj </w:t>
      </w:r>
      <w:r w:rsidR="008929EE" w:rsidRPr="00794F93">
        <w:rPr>
          <w:rFonts w:ascii="Times New Roman" w:hAnsi="Times New Roman" w:cs="Times New Roman"/>
          <w:sz w:val="24"/>
          <w:szCs w:val="24"/>
          <w:lang w:val="hr-HR"/>
        </w:rPr>
        <w:t>Bruto dodana vrijednost po zaposlenome u djelatnosti i u odnosu na prosjek EU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, set podataka službeno ukinut od srpnja 2023. godine.   </w:t>
      </w:r>
    </w:p>
    <w:p w14:paraId="2B2CCD72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3AD5">
        <w:rPr>
          <w:rFonts w:ascii="Times New Roman" w:hAnsi="Times New Roman" w:cs="Times New Roman"/>
          <w:sz w:val="24"/>
          <w:szCs w:val="24"/>
          <w:lang w:val="hr-HR"/>
        </w:rPr>
        <w:t xml:space="preserve">Ciljana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vrijednost pokazatelja </w:t>
      </w:r>
      <w:r w:rsidRPr="00794F93">
        <w:rPr>
          <w:rFonts w:ascii="Times New Roman" w:hAnsi="Times New Roman" w:cs="Times New Roman"/>
          <w:sz w:val="24"/>
          <w:szCs w:val="24"/>
          <w:lang w:val="hr-HR"/>
        </w:rPr>
        <w:t>Ukupni indeks razvoja putovanja i turizma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583AD5">
        <w:rPr>
          <w:rFonts w:ascii="Times New Roman" w:hAnsi="Times New Roman" w:cs="Times New Roman"/>
          <w:sz w:val="24"/>
          <w:szCs w:val="24"/>
          <w:lang w:val="hr-HR"/>
        </w:rPr>
        <w:t xml:space="preserve"> temelji se na kontinuiranom poboljšanju upravljanja turističkim razvojem u ostvarenju održivog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83AD5">
        <w:rPr>
          <w:rFonts w:ascii="Times New Roman" w:hAnsi="Times New Roman" w:cs="Times New Roman"/>
          <w:sz w:val="24"/>
          <w:szCs w:val="24"/>
          <w:lang w:val="hr-HR"/>
        </w:rPr>
        <w:t>otpornog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583AD5">
        <w:rPr>
          <w:rFonts w:ascii="Times New Roman" w:hAnsi="Times New Roman" w:cs="Times New Roman"/>
          <w:sz w:val="24"/>
          <w:szCs w:val="24"/>
          <w:lang w:val="hr-HR"/>
        </w:rPr>
        <w:t xml:space="preserve"> globalno konkurentnog turizma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Pr="00583AD5">
        <w:rPr>
          <w:rFonts w:ascii="Times New Roman" w:hAnsi="Times New Roman" w:cs="Times New Roman"/>
          <w:sz w:val="24"/>
          <w:szCs w:val="24"/>
          <w:lang w:val="hr-HR"/>
        </w:rPr>
        <w:t xml:space="preserve">Hrvatske za čije unaprjeđenje su osigurana sredstva u okviru </w:t>
      </w:r>
      <w:r w:rsidR="00616B3C">
        <w:rPr>
          <w:rFonts w:ascii="Times New Roman" w:hAnsi="Times New Roman" w:cs="Times New Roman"/>
          <w:sz w:val="24"/>
          <w:szCs w:val="24"/>
          <w:lang w:val="hr-HR"/>
        </w:rPr>
        <w:t>NPOO-a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>. U</w:t>
      </w:r>
      <w:r w:rsidR="00616B3C">
        <w:rPr>
          <w:rFonts w:ascii="Times New Roman" w:hAnsi="Times New Roman" w:cs="Times New Roman"/>
          <w:sz w:val="24"/>
          <w:szCs w:val="24"/>
          <w:lang w:val="hr-HR"/>
        </w:rPr>
        <w:t xml:space="preserve">z učinke koji će proizaći iz provedbe reforme turizma ka modelu održivog upravljanja razvojem turizma, u narednom razdoblju može 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616B3C">
        <w:rPr>
          <w:rFonts w:ascii="Times New Roman" w:hAnsi="Times New Roman" w:cs="Times New Roman"/>
          <w:sz w:val="24"/>
          <w:szCs w:val="24"/>
          <w:lang w:val="hr-HR"/>
        </w:rPr>
        <w:t xml:space="preserve">očekivati i ostvarivanje bolje pozicije Republike Hrvatske na ljestvici </w:t>
      </w:r>
      <w:r w:rsidR="00616B3C" w:rsidRPr="003A5522">
        <w:rPr>
          <w:rFonts w:ascii="Times New Roman" w:hAnsi="Times New Roman" w:cs="Times New Roman"/>
          <w:sz w:val="24"/>
          <w:szCs w:val="24"/>
          <w:lang w:val="hr-HR"/>
        </w:rPr>
        <w:t xml:space="preserve">Svjetskog gospodarskog foruma za </w:t>
      </w:r>
      <w:r w:rsidR="00616B3C">
        <w:rPr>
          <w:rFonts w:ascii="Times New Roman" w:hAnsi="Times New Roman" w:cs="Times New Roman"/>
          <w:sz w:val="24"/>
          <w:szCs w:val="24"/>
          <w:lang w:val="hr-HR"/>
        </w:rPr>
        <w:t xml:space="preserve">Ukupni indeks razvoja putovanja i turizma </w:t>
      </w:r>
      <w:r w:rsidR="00616B3C" w:rsidRPr="003A5522">
        <w:rPr>
          <w:rFonts w:ascii="Times New Roman" w:hAnsi="Times New Roman" w:cs="Times New Roman"/>
          <w:sz w:val="24"/>
          <w:szCs w:val="24"/>
          <w:lang w:val="hr-HR"/>
        </w:rPr>
        <w:t>(TTDI-WEF)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B2CCD73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Tome u prilog sigurno idu i </w:t>
      </w:r>
      <w:r w:rsidRPr="00AC6B95">
        <w:rPr>
          <w:rFonts w:ascii="Times New Roman" w:hAnsi="Times New Roman" w:cs="Times New Roman"/>
          <w:sz w:val="24"/>
          <w:szCs w:val="24"/>
          <w:lang w:val="hr-HR"/>
        </w:rPr>
        <w:t>podaci Tu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rističkog barometra UN Turizma, gdje se </w:t>
      </w:r>
      <w:r w:rsidRPr="00AC6B95">
        <w:rPr>
          <w:rFonts w:ascii="Times New Roman" w:hAnsi="Times New Roman" w:cs="Times New Roman"/>
          <w:sz w:val="24"/>
          <w:szCs w:val="24"/>
          <w:lang w:val="hr-HR"/>
        </w:rPr>
        <w:t>Hrvatska u 2023. godini popela s 32. na 25. mjesto po prihodima od međunarodnog turizma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74" w14:textId="77777777" w:rsidR="008929EE" w:rsidRPr="00583AD5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MINTS je nastavio s provedbom brojnih aktivnosti započetih i prije samog donošenja Strategije,  a kojima doprinosi ostvarenju strateškog cilja konkurentnog i inovativnog turizma poticanjem ulaganja u ljudske potencijale</w:t>
      </w:r>
      <w:r w:rsidRPr="00104E08">
        <w:rPr>
          <w:rFonts w:ascii="Times New Roman" w:hAnsi="Times New Roman" w:cs="Times New Roman"/>
          <w:sz w:val="24"/>
          <w:szCs w:val="24"/>
          <w:lang w:val="hr-HR"/>
        </w:rPr>
        <w:t xml:space="preserve"> i tržište rada, unaprjeđenje strukture i kvalitete smještajnih kapaciteta, osiguranje poticajnog poslovnog okruženja te poticanje inovacija i digitalne transformacije turizma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75" w14:textId="77777777" w:rsidR="008929EE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 w:rsidRPr="00706CCC">
        <w:rPr>
          <w:rFonts w:ascii="Times New Roman" w:eastAsia="Calibri" w:hAnsi="Times New Roman" w:cs="Times New Roman"/>
          <w:sz w:val="24"/>
          <w:szCs w:val="24"/>
          <w:lang w:val="hr-HR"/>
        </w:rPr>
        <w:t>S ciljem poticanja i promoviranja zanimanja u sektoru turizma i ugostiteljstva provodi se program stipendiranja kojim se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motivira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ju 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mlad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i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i dodatno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potiče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interes učenika i studenata, ali i poslodavaca u turizmu za zanimanja u sektoru turizma i ugostiteljstva te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osigurava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kvalitet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no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umrežavanj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e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obrazovnih ustanova i poslodavaca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.</w:t>
      </w:r>
    </w:p>
    <w:p w14:paraId="2B2CCD76" w14:textId="77777777" w:rsidR="008929EE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Javni poziv poticanja obrazovanja u ugostiteljstvu i turizmu u školskoj godini 2023/24. „STIPENDIJE“ objavljen je u listopadu 2023. godine temeljem kojeg je stipendirano 280 stipendista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.</w:t>
      </w:r>
    </w:p>
    <w:p w14:paraId="2B2CCD77" w14:textId="77777777" w:rsidR="008929EE" w:rsidRPr="00104E08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Financiranje aktivnosti jačanja ljudskih potencijala u turizmu kroz Program poticanja obrazovanja i obuke kadrova u ugostiteljstvu i turizmu kojim se animiraju mladi za zanimanja u turizmu i ugostiteljstvu, utječe na intenziviranje suradnje između obrazovnog i privatnog sektora kroz stipendije, potiče stručno usavršavanje nastavnog kadra i uključivanje učenika u aktivnosti promocije zanimanja. Jačanje strukovnih udruga kao predstavnika privatnog sektora u turizmu i partnera javnom sektoru u provedbi mjera</w:t>
      </w:r>
      <w:r w:rsidR="004218C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,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dodatno doprinosi jačanju konkurentnosti turističkog proizvoda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Republike 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Hrvatske na svjetskom turist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ičkom tržištu. </w:t>
      </w:r>
    </w:p>
    <w:p w14:paraId="2B2CCD78" w14:textId="77777777" w:rsidR="008929EE" w:rsidRPr="00104E08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MINTS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je financirao programe i projekte udruga namijenjene stručnom usavršavanju i cjeloživotnom obrazovanju u turizmu te one na temu pristupačnog turizma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, čija provedba završava u lipnju 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2024.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godine.</w:t>
      </w:r>
    </w:p>
    <w:p w14:paraId="2B2CCD79" w14:textId="77777777" w:rsidR="008929EE" w:rsidRPr="00104E08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S ciljem jačanja kompetencija učenika srednjih strukovnih, umjetničkih i mješovitih škola i razvijanja svijesti o mogućnostima razvoja karijere u turizmu,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k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roz program „P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romocija zanimanja“ MINTS je u 2023. godini financirao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14 projek</w:t>
      </w:r>
      <w:r w:rsidR="004218C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a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ta srednjih strukovnih, umjetničkih i mješovitih škola za potrebe turizma. </w:t>
      </w:r>
    </w:p>
    <w:p w14:paraId="2B2CCD7A" w14:textId="77777777" w:rsidR="008929EE" w:rsidRDefault="008929EE" w:rsidP="008929E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lastRenderedPageBreak/>
        <w:t>MINTS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 xml:space="preserve"> je, u suradnji s pravobraniteljicom za osobe s invaliditetom, održao pet regionalnih radionica i završnu konferenciju na temu pristupačnog turizma. Snimke i prezentacije objavljene su kao edukativni materijal na mrežnim stranicama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MINTS-a</w:t>
      </w:r>
      <w:r w:rsidRPr="00104E08">
        <w:rPr>
          <w:rFonts w:ascii="Times New Roman" w:eastAsia="Calibri" w:hAnsi="Times New Roman" w:cs="Times New Roman"/>
          <w:bCs/>
          <w:noProof/>
          <w:sz w:val="24"/>
          <w:szCs w:val="24"/>
          <w:lang w:val="hr-HR" w:eastAsia="de-DE"/>
        </w:rPr>
        <w:t>.</w:t>
      </w:r>
    </w:p>
    <w:p w14:paraId="2B2CCD7B" w14:textId="77777777" w:rsidR="008929EE" w:rsidRPr="001D75AB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provedene sveobuhvatne analize potreba, u okviru NPOO investicija, započet je postupak pripreme javne nabave usluga izrade i provedbe programa obrazovanja. P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redviđena je izrada obrazovnih programa i materijala za e-učenje za najmanje deset područja (edukacija za specifične poslove u turizmu, vještine za zelenu tranziciju, upravljačke vještine vođenja poslovanja u turizmu i sl.). Na edukaciju i rad u turizmu će se posebno poticati lokalno stanovništvo, a osobito ranjive skupine. To podrazumijeva i poticanje razvoja skupa vještina kako bi se ljude osposobilo da osmišljavaju i stvaraju proizvode i usluge te njima upravljaju na ekološki održiv način, ali i kako bi se poslodavcima osigurala potrebna kvalificirana radna snaga. Novim obrazovnim programima i obrazovanjem pridonijet će se rješavanju pitanja manjka kvalitetne radne snage, kao i lakšem zapošljavanju. Time će se ojačati ekonomska i socijalna otpornost te otpornost na krizu.  </w:t>
      </w:r>
    </w:p>
    <w:p w14:paraId="2B2CCD7C" w14:textId="77777777" w:rsidR="008929EE" w:rsidRPr="00870C16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0C16">
        <w:rPr>
          <w:rFonts w:ascii="Times New Roman" w:hAnsi="Times New Roman" w:cs="Times New Roman"/>
          <w:sz w:val="24"/>
          <w:szCs w:val="24"/>
          <w:lang w:val="hr-HR"/>
        </w:rPr>
        <w:t>U okviru provedbe NPOO</w:t>
      </w:r>
      <w:r>
        <w:rPr>
          <w:rFonts w:ascii="Times New Roman" w:hAnsi="Times New Roman" w:cs="Times New Roman"/>
          <w:sz w:val="24"/>
          <w:szCs w:val="24"/>
          <w:lang w:val="hr-HR"/>
        </w:rPr>
        <w:t>-a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MINTS je 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listopad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objavio Poziv „Jačanje održivosti te poticanje zelene i digitalne tranzicije poduzetnika u sektoru turizma“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ukupne vrijednosti 16</w:t>
      </w:r>
      <w:r>
        <w:rPr>
          <w:rFonts w:ascii="Times New Roman" w:hAnsi="Times New Roman" w:cs="Times New Roman"/>
          <w:sz w:val="24"/>
          <w:szCs w:val="24"/>
          <w:lang w:val="hr-HR"/>
        </w:rPr>
        <w:t>5,9 mil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>ijuna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EUR. Predmet Poziva je poticanje ulaganja više dodane vrijednosti poduzetnika koja će doprinijeti razvoju održivog turizma uz pomoć zelene i digitalne tranzicije te poticanje oporavka i otpornosti poduzetnika u cijelom lancu vrijednosti turizma. Poziv je bio otvoren do ožujka 2023. g</w:t>
      </w:r>
      <w:r>
        <w:rPr>
          <w:rFonts w:ascii="Times New Roman" w:hAnsi="Times New Roman" w:cs="Times New Roman"/>
          <w:sz w:val="24"/>
          <w:szCs w:val="24"/>
          <w:lang w:val="hr-HR"/>
        </w:rPr>
        <w:t>odine,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nakon čega je započela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evaluacija projekata i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>dodjel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bespovratnih sredstava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 su do kraja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2023. </w:t>
      </w:r>
      <w:r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donesene Odluke o financiranju</w:t>
      </w:r>
      <w:r>
        <w:rPr>
          <w:rFonts w:ascii="Times New Roman" w:hAnsi="Times New Roman" w:cs="Times New Roman"/>
          <w:sz w:val="24"/>
          <w:szCs w:val="24"/>
          <w:lang w:val="hr-HR"/>
        </w:rPr>
        <w:t>, a projekti će se provoditi do sredine 2025. godine.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7D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Financiranjem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>iz Europskog socijalnog fonda u pr</w:t>
      </w:r>
      <w:r>
        <w:rPr>
          <w:rFonts w:ascii="Times New Roman" w:hAnsi="Times New Roman" w:cs="Times New Roman"/>
          <w:sz w:val="24"/>
          <w:szCs w:val="24"/>
          <w:lang w:val="hr-HR"/>
        </w:rPr>
        <w:t>ogramskog razdoblju 2014.-2020. provedena su dva poziva:</w:t>
      </w:r>
    </w:p>
    <w:p w14:paraId="2B2CCD7E" w14:textId="77777777" w:rsidR="008929EE" w:rsidRPr="00870C16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>Uspostava regionalnih centara kompetentnosti u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ktoru turizma i ugostiteljstva“ sa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6 projekata </w:t>
      </w:r>
      <w:r>
        <w:rPr>
          <w:rFonts w:ascii="Times New Roman" w:hAnsi="Times New Roman" w:cs="Times New Roman"/>
          <w:sz w:val="24"/>
          <w:szCs w:val="24"/>
          <w:lang w:val="hr-HR"/>
        </w:rPr>
        <w:t>ukupne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vrijednosti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51</w:t>
      </w:r>
      <w:r>
        <w:rPr>
          <w:rFonts w:ascii="Times New Roman" w:hAnsi="Times New Roman" w:cs="Times New Roman"/>
          <w:sz w:val="24"/>
          <w:szCs w:val="24"/>
          <w:lang w:val="hr-HR"/>
        </w:rPr>
        <w:t>,5 mil</w:t>
      </w:r>
      <w:r w:rsidR="004218C8">
        <w:rPr>
          <w:rFonts w:ascii="Times New Roman" w:hAnsi="Times New Roman" w:cs="Times New Roman"/>
          <w:sz w:val="24"/>
          <w:szCs w:val="24"/>
          <w:lang w:val="hr-HR"/>
        </w:rPr>
        <w:t>ijuna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EUR. 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rojektne aktivnosti provodile su se od lipnja 2020. godine do kraja 2023. </w:t>
      </w:r>
      <w:r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="00C74C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su bile usmjerene na organizacijsku uspostavu centara, razvoj obrazovnih programa, poticanje povezivanja poslodavaca s centrima te jačanje znanja i vještina učenika, učenje temeljeno na radu kao i poticanje cjeloživotnog obrazovanja nezaposlenima, zaposlenicima u turističkom sektoru i svima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lastRenderedPageBreak/>
        <w:t>zainteresiranima koji se žele zaposliti u turizmu. U obrazovne aktivnosti je od početka provedbe do kraja 2023. godine bio uključen 10.001 polaznik (1285 sudionika s tercijarnim obrazovanjem, 4071 sudionik s predtercijarnim obrazovanjem, 3543 učenika, 1102 nastavnika), od toga je u 2023. godini obrazovne aktivnosti pohađao ukupno 3871 polaznik (435 sudionika s tercijarnim obrazovanjem, 1677 sudionika s predtercijarnim obrazovanjem, 1479 učenika, 280 nastavnika).</w:t>
      </w:r>
    </w:p>
    <w:p w14:paraId="2B2CCD7F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„Poboljšanje pristupa ranjivih skupina tržištu rada u sektoru turizma i ugostiteljstva II“,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 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>14 projekata ukupne vrijednosti 3</w:t>
      </w:r>
      <w:r>
        <w:rPr>
          <w:rFonts w:ascii="Times New Roman" w:hAnsi="Times New Roman" w:cs="Times New Roman"/>
          <w:sz w:val="24"/>
          <w:szCs w:val="24"/>
          <w:lang w:val="hr-HR"/>
        </w:rPr>
        <w:t>,6 mil</w:t>
      </w:r>
      <w:r w:rsidR="00EF208D">
        <w:rPr>
          <w:rFonts w:ascii="Times New Roman" w:hAnsi="Times New Roman" w:cs="Times New Roman"/>
          <w:sz w:val="24"/>
          <w:szCs w:val="24"/>
          <w:lang w:val="hr-HR"/>
        </w:rPr>
        <w:t>ijuna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EUR. Projektne aktivnosti unaprjeđenja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stručnih i andragoških znanja stručnjaka u sektoru turizma i ugostiteljstva za rad s osobama s </w:t>
      </w:r>
      <w:r>
        <w:rPr>
          <w:rFonts w:ascii="Times New Roman" w:hAnsi="Times New Roman" w:cs="Times New Roman"/>
          <w:sz w:val="24"/>
          <w:szCs w:val="24"/>
          <w:lang w:val="hr-HR"/>
        </w:rPr>
        <w:t>invaliditetom te osposobljavanja osoba s invaliditetom provodile su se do kraja 2023. godine</w:t>
      </w:r>
      <w:r w:rsidR="00C74C8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70C16">
        <w:rPr>
          <w:rFonts w:ascii="Times New Roman" w:hAnsi="Times New Roman" w:cs="Times New Roman"/>
          <w:sz w:val="24"/>
          <w:szCs w:val="24"/>
          <w:lang w:val="hr-HR"/>
        </w:rPr>
        <w:t xml:space="preserve"> Ukupan broj osoba s invaliditetom koje su prošle program osposobljavanja za rad u turizmu u periodu od početka do kraja razdoblja provedbe projekata iznosi 881, dok ostvarena vrijednost pokazatelja samo za 2023. godinu iznosi 711. Uz osobe s invaliditetom, sudionici u obrazovnim aktivnostima bili su i stručnjaci iz sektora koji su osposobljavani za rad s ranjivim skupinama. Ukupno je u provedbi projektnih aktivnosti sudjelovalo 93 stručnjaka iz sektora turizma, dok je u 2023. godini broj stručnjaka iznosio 65. </w:t>
      </w:r>
    </w:p>
    <w:p w14:paraId="2B2CCD80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1008">
        <w:rPr>
          <w:rFonts w:ascii="Times New Roman" w:hAnsi="Times New Roman" w:cs="Times New Roman"/>
          <w:sz w:val="24"/>
          <w:szCs w:val="24"/>
          <w:lang w:val="hr-HR"/>
        </w:rPr>
        <w:t xml:space="preserve">Provedena vrednovanja djelotvornosti, učinkovitosti i učinka Operativnog programa Učinkoviti ljudski potencijali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razdoblju </w:t>
      </w:r>
      <w:r w:rsidRPr="007C1008">
        <w:rPr>
          <w:rFonts w:ascii="Times New Roman" w:hAnsi="Times New Roman" w:cs="Times New Roman"/>
          <w:sz w:val="24"/>
          <w:szCs w:val="24"/>
          <w:lang w:val="hr-HR"/>
        </w:rPr>
        <w:t xml:space="preserve">2014. – 2020.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godine, </w:t>
      </w:r>
      <w:r w:rsidRPr="007C1008">
        <w:rPr>
          <w:rFonts w:ascii="Times New Roman" w:hAnsi="Times New Roman" w:cs="Times New Roman"/>
          <w:sz w:val="24"/>
          <w:szCs w:val="24"/>
          <w:lang w:val="hr-HR"/>
        </w:rPr>
        <w:t>ukazuju kako će uspostavljeni regionalni centri kompetentnosti imati značajan lokalni, regionalni i nacionalni učinak kako na samu motivaciju učenika da odabiru karijere u području strukovnog obrazovanja, tako i na odgojno-obrazovne ishode i adekvatnost odgo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vora na potrebe na tržištu rada. </w:t>
      </w:r>
      <w:r w:rsidR="00E23604" w:rsidRPr="00E23604">
        <w:rPr>
          <w:rFonts w:ascii="Times New Roman" w:hAnsi="Times New Roman" w:cs="Times New Roman"/>
          <w:sz w:val="24"/>
          <w:szCs w:val="24"/>
          <w:lang w:val="hr-HR"/>
        </w:rPr>
        <w:t>Također, potrebno je</w:t>
      </w:r>
      <w:r w:rsidR="00E23604">
        <w:rPr>
          <w:rFonts w:ascii="Times New Roman" w:hAnsi="Times New Roman" w:cs="Times New Roman"/>
          <w:sz w:val="24"/>
          <w:szCs w:val="24"/>
          <w:lang w:val="hr-HR"/>
        </w:rPr>
        <w:t xml:space="preserve"> ulagati u vještine korisnika, posebno jer</w:t>
      </w:r>
      <w:r w:rsidR="00E23604" w:rsidRPr="00E23604">
        <w:rPr>
          <w:rFonts w:ascii="Times New Roman" w:hAnsi="Times New Roman" w:cs="Times New Roman"/>
          <w:sz w:val="24"/>
          <w:szCs w:val="24"/>
          <w:lang w:val="hr-HR"/>
        </w:rPr>
        <w:t xml:space="preserve"> rad s najranjivijim skupinama zahtijeva vještine i iskustvo. </w:t>
      </w:r>
      <w:r w:rsidRPr="007C1008">
        <w:rPr>
          <w:rFonts w:ascii="Times New Roman" w:hAnsi="Times New Roman" w:cs="Times New Roman"/>
          <w:sz w:val="24"/>
          <w:szCs w:val="24"/>
          <w:lang w:val="hr-HR"/>
        </w:rPr>
        <w:t>Treba snažno promicati razvoj praktičnih vještina i prakticirati razmjenu iskustava stručnog osoblja organizacija i institucija koje pružaju aktivacijske usluge.</w:t>
      </w:r>
    </w:p>
    <w:p w14:paraId="2B2CCD81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5B5E">
        <w:rPr>
          <w:rFonts w:ascii="Times New Roman" w:hAnsi="Times New Roman" w:cs="Times New Roman"/>
          <w:sz w:val="24"/>
          <w:szCs w:val="24"/>
          <w:lang w:val="hr-HR"/>
        </w:rPr>
        <w:t>Kako bi se unaprijedile i potaknule investicijske aktivnosti više dodane vrijednosti u turi</w:t>
      </w:r>
      <w:r>
        <w:rPr>
          <w:rFonts w:ascii="Times New Roman" w:hAnsi="Times New Roman" w:cs="Times New Roman"/>
          <w:sz w:val="24"/>
          <w:szCs w:val="24"/>
          <w:lang w:val="hr-HR"/>
        </w:rPr>
        <w:t>zmu, Zakonom o turizmu definirao</w:t>
      </w:r>
      <w:r w:rsidRPr="009E5B5E">
        <w:rPr>
          <w:rFonts w:ascii="Times New Roman" w:hAnsi="Times New Roman" w:cs="Times New Roman"/>
          <w:sz w:val="24"/>
          <w:szCs w:val="24"/>
          <w:lang w:val="hr-HR"/>
        </w:rPr>
        <w:t xml:space="preserve"> se sektorski specifičan sust</w:t>
      </w:r>
      <w:r>
        <w:rPr>
          <w:rFonts w:ascii="Times New Roman" w:hAnsi="Times New Roman" w:cs="Times New Roman"/>
          <w:sz w:val="24"/>
          <w:szCs w:val="24"/>
          <w:lang w:val="hr-HR"/>
        </w:rPr>
        <w:t>av poticanja ulaganja u turizmu te</w:t>
      </w:r>
      <w:r w:rsidRPr="009E5B5E">
        <w:rPr>
          <w:rFonts w:ascii="Times New Roman" w:hAnsi="Times New Roman" w:cs="Times New Roman"/>
          <w:sz w:val="24"/>
          <w:szCs w:val="24"/>
          <w:lang w:val="hr-HR"/>
        </w:rPr>
        <w:t xml:space="preserve"> zaštita i valorizacija resursne osnove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82" w14:textId="77777777" w:rsidR="008929EE" w:rsidRPr="00B52264" w:rsidRDefault="008929EE" w:rsidP="008929EE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5B5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 cilju dodatnog smanjenja administrativnog opterećenja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poduzetnika </w:t>
      </w:r>
      <w:r w:rsidRPr="009E5B5E">
        <w:rPr>
          <w:rFonts w:ascii="Times New Roman" w:hAnsi="Times New Roman" w:cs="Times New Roman"/>
          <w:sz w:val="24"/>
          <w:szCs w:val="24"/>
          <w:lang w:val="hr-HR"/>
        </w:rPr>
        <w:t xml:space="preserve">kroz projekt „Hrvatski digitalni turizam – e-Turizam“,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 kraja 2023. godine 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>razvijeno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 xml:space="preserve"> i uspostavljeno osam elektroničkih javnih usluga</w:t>
      </w:r>
      <w:r w:rsidR="00EF208D">
        <w:rPr>
          <w:rFonts w:ascii="Times New Roman" w:hAnsi="Times New Roman" w:cs="Times New Roman"/>
          <w:sz w:val="24"/>
          <w:szCs w:val="24"/>
          <w:lang w:val="hr-HR"/>
        </w:rPr>
        <w:t>. Navedene usluge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 xml:space="preserve">kroz digitalizaciju i optimizaciju </w:t>
      </w:r>
      <w:r>
        <w:rPr>
          <w:rFonts w:ascii="Times New Roman" w:hAnsi="Times New Roman" w:cs="Times New Roman"/>
          <w:sz w:val="24"/>
          <w:szCs w:val="24"/>
          <w:lang w:val="hr-HR"/>
        </w:rPr>
        <w:t>rezultirale poboljšanjem komunikacije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 xml:space="preserve"> između građana i javne uprave u turizmu skraćivanjem vremena potrebnog za obradu zahtjeva građana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>smanjenje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 xml:space="preserve"> troškova pružanja javnih e-usluga te smanjenje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 pogrešaka </w:t>
      </w:r>
      <w:r w:rsidR="00EF208D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povećanom transparentnošću</w:t>
      </w:r>
      <w:r w:rsidRPr="00B52264">
        <w:rPr>
          <w:rFonts w:ascii="Times New Roman" w:hAnsi="Times New Roman" w:cs="Times New Roman"/>
          <w:sz w:val="24"/>
          <w:szCs w:val="24"/>
          <w:lang w:val="hr-HR"/>
        </w:rPr>
        <w:t xml:space="preserve"> javne uprave u turizmu pružanjem ažurnih turističkih informacija prema građanima u sektoru turizma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83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4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5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6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7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8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9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A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B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C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8D" w14:textId="77777777" w:rsidR="008929EE" w:rsidRDefault="008929EE" w:rsidP="008929EE">
      <w:pPr>
        <w:pStyle w:val="Heading1"/>
        <w:rPr>
          <w:lang w:val="hr-HR"/>
        </w:rPr>
      </w:pPr>
      <w:bookmarkStart w:id="9" w:name="_Toc168993961"/>
      <w:r>
        <w:rPr>
          <w:lang w:val="hr-HR"/>
        </w:rPr>
        <w:t>4. Otporan turizam</w:t>
      </w:r>
      <w:bookmarkEnd w:id="9"/>
    </w:p>
    <w:p w14:paraId="2B2CCD8E" w14:textId="77777777" w:rsidR="008929EE" w:rsidRDefault="008929EE" w:rsidP="008929EE">
      <w:pPr>
        <w:pStyle w:val="Heading2"/>
        <w:rPr>
          <w:lang w:val="hr-HR"/>
        </w:rPr>
      </w:pPr>
      <w:bookmarkStart w:id="10" w:name="_Toc168993962"/>
      <w:r>
        <w:rPr>
          <w:lang w:val="hr-HR"/>
        </w:rPr>
        <w:t xml:space="preserve">4.1. </w:t>
      </w:r>
      <w:r w:rsidRPr="00F62C42">
        <w:rPr>
          <w:lang w:val="hr-HR"/>
        </w:rPr>
        <w:t>Ostvarene vrijednosti pokazatelja uspješnosti</w:t>
      </w:r>
      <w:bookmarkEnd w:id="10"/>
    </w:p>
    <w:p w14:paraId="2B2CCD8F" w14:textId="77777777" w:rsidR="008929EE" w:rsidRPr="00F62C42" w:rsidRDefault="008929EE" w:rsidP="008929EE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4"/>
        <w:gridCol w:w="2338"/>
        <w:gridCol w:w="2338"/>
      </w:tblGrid>
      <w:tr w:rsidR="008929EE" w:rsidRPr="00277D5D" w14:paraId="2B2CCD94" w14:textId="77777777" w:rsidTr="00CB171A">
        <w:tc>
          <w:tcPr>
            <w:tcW w:w="2830" w:type="dxa"/>
            <w:shd w:val="clear" w:color="auto" w:fill="D0CECE" w:themeFill="background2" w:themeFillShade="E6"/>
          </w:tcPr>
          <w:p w14:paraId="2B2CCD90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Pokazatelj učinka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2B2CCD91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B2CCD92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Ciljna vrijednost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B2CCD93" w14:textId="77777777" w:rsidR="008929EE" w:rsidRPr="00277D5D" w:rsidRDefault="008929EE" w:rsidP="00CB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77D5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Ostvarena vrijednost, godina podatka</w:t>
            </w:r>
          </w:p>
        </w:tc>
      </w:tr>
      <w:tr w:rsidR="008929EE" w:rsidRPr="00DC670C" w14:paraId="2B2CCD9C" w14:textId="77777777" w:rsidTr="00CB171A">
        <w:trPr>
          <w:trHeight w:val="18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95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Indeks razvoja putovanja i turizma (TTDI-WEF) – Prioritizacija putovanja i turizma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2CCD96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97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</w:rPr>
              <w:t>≤ 35. mjesta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B2CCD98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99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9A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9B" w14:textId="77777777" w:rsidR="008929EE" w:rsidRPr="00D64574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64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C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C74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929EE" w:rsidRPr="00DC670C" w14:paraId="2B2CCDA4" w14:textId="77777777" w:rsidTr="00CB171A">
        <w:trPr>
          <w:trHeight w:val="1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9D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Indeks razvoja putovanja i turizma (TTDI-WEF) – Pokretači potražnje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2CCD9E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9F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35. mjesta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B2CCDA0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A1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A2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A3" w14:textId="77777777" w:rsidR="008929EE" w:rsidRPr="00D64574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64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C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C74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929EE" w:rsidRPr="00DC670C" w14:paraId="2B2CCDAB" w14:textId="77777777" w:rsidTr="00CB171A">
        <w:trPr>
          <w:trHeight w:val="12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A5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Indeks razvoja putovanja i turizma (TTDI-WEF) – Zaštita i sigurnost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2CCDA6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DA7" w14:textId="77777777" w:rsidR="008929EE" w:rsidRPr="00F62C42" w:rsidRDefault="008929EE" w:rsidP="00CB1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15. mjesta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B2CCDA8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A9" w14:textId="77777777" w:rsidR="008929EE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CDAA" w14:textId="77777777" w:rsidR="008929EE" w:rsidRPr="00D64574" w:rsidRDefault="008929EE" w:rsidP="00CB1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645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C74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2B2CCDAC" w14:textId="77777777" w:rsidR="008929EE" w:rsidRDefault="008929EE" w:rsidP="008929EE">
      <w:pPr>
        <w:pStyle w:val="Heading3"/>
        <w:rPr>
          <w:lang w:val="hr-HR"/>
        </w:rPr>
      </w:pPr>
    </w:p>
    <w:p w14:paraId="2B2CCDAD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2CCDAE" w14:textId="77777777" w:rsidR="00155DE6" w:rsidRDefault="001B0F0B" w:rsidP="004A23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B0F0B">
        <w:rPr>
          <w:rFonts w:ascii="Times New Roman" w:hAnsi="Times New Roman" w:cs="Times New Roman"/>
          <w:sz w:val="24"/>
          <w:szCs w:val="24"/>
          <w:lang w:val="hr-HR"/>
        </w:rPr>
        <w:t xml:space="preserve">Prema najnovijim podacima Svjetskog gospodarskog foruma iz 2024. godine, Hrvatska je </w:t>
      </w:r>
      <w:r w:rsidR="00155DE6" w:rsidRPr="001B0F0B">
        <w:rPr>
          <w:rFonts w:ascii="Times New Roman" w:hAnsi="Times New Roman" w:cs="Times New Roman"/>
          <w:sz w:val="24"/>
          <w:szCs w:val="24"/>
          <w:lang w:val="hr-HR"/>
        </w:rPr>
        <w:t>ostvarila</w:t>
      </w:r>
      <w:r w:rsidR="00155DE6" w:rsidRPr="00155DE6">
        <w:rPr>
          <w:rFonts w:ascii="Times New Roman" w:hAnsi="Times New Roman" w:cs="Times New Roman"/>
          <w:sz w:val="24"/>
          <w:szCs w:val="24"/>
          <w:lang w:val="hr-HR"/>
        </w:rPr>
        <w:t xml:space="preserve"> napredak u Indeksu razvoja putovanja i turizma (TTDI-WEF). Iako je podindeks Pokretači potražn</w:t>
      </w:r>
      <w:r w:rsidR="00031F96">
        <w:rPr>
          <w:rFonts w:ascii="Times New Roman" w:hAnsi="Times New Roman" w:cs="Times New Roman"/>
          <w:sz w:val="24"/>
          <w:szCs w:val="24"/>
          <w:lang w:val="hr-HR"/>
        </w:rPr>
        <w:t>je pokazao mali pad, podindeks P</w:t>
      </w:r>
      <w:r w:rsidR="00155DE6" w:rsidRPr="00155DE6">
        <w:rPr>
          <w:rFonts w:ascii="Times New Roman" w:hAnsi="Times New Roman" w:cs="Times New Roman"/>
          <w:sz w:val="24"/>
          <w:szCs w:val="24"/>
          <w:lang w:val="hr-HR"/>
        </w:rPr>
        <w:t xml:space="preserve">rioritizacija putovanja i turizma i podindeks </w:t>
      </w:r>
      <w:r w:rsidR="00031F96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55DE6" w:rsidRPr="00155DE6">
        <w:rPr>
          <w:rFonts w:ascii="Times New Roman" w:hAnsi="Times New Roman" w:cs="Times New Roman"/>
          <w:sz w:val="24"/>
          <w:szCs w:val="24"/>
          <w:lang w:val="hr-HR"/>
        </w:rPr>
        <w:t xml:space="preserve">aštita i sigurnost pokazao 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55DE6" w:rsidRPr="00155DE6">
        <w:rPr>
          <w:rFonts w:ascii="Times New Roman" w:hAnsi="Times New Roman" w:cs="Times New Roman"/>
          <w:sz w:val="24"/>
          <w:szCs w:val="24"/>
          <w:lang w:val="hr-HR"/>
        </w:rPr>
        <w:t>značajan napredak. Ovi rezultati ukazuju na uspješnost napora Hrvatske u unapređenju svojih turističkih i sigurnosnih standarda.</w:t>
      </w:r>
      <w:r w:rsidR="00015B3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AF" w14:textId="77777777" w:rsidR="008929EE" w:rsidRPr="000037E8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Napredak u podindeksu Prioritizacija putovanja i turizma zasigurno će biti prepoznat s obzirom na provedenu reformu turizma i unapređenje zakonodavnog okvira. Novim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Zakonom o turizmu uređuje se sustav turizma, upravljanje razvojem turizma u smjeru održivosti, osiguravanje održivosti, sektorski specifičan sustav poticanja ulaganja u turizmu, zaštita i valorizacija resursne osnove te ostala</w:t>
      </w:r>
      <w:r w:rsidRPr="00A91402">
        <w:rPr>
          <w:rFonts w:ascii="Times New Roman" w:hAnsi="Times New Roman" w:cs="Times New Roman"/>
          <w:sz w:val="24"/>
          <w:szCs w:val="24"/>
          <w:lang w:val="hr-HR"/>
        </w:rPr>
        <w:t xml:space="preserve"> pitanja od značaja za turizam.</w:t>
      </w:r>
      <w:r w:rsidR="00015B3C" w:rsidRPr="00015B3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5B3C">
        <w:rPr>
          <w:rFonts w:ascii="Times New Roman" w:hAnsi="Times New Roman" w:cs="Times New Roman"/>
          <w:sz w:val="24"/>
          <w:szCs w:val="24"/>
          <w:lang w:val="hr-HR"/>
        </w:rPr>
        <w:t xml:space="preserve">Daljnjom provedbom reforme, </w:t>
      </w:r>
      <w:r w:rsidR="00015B3C" w:rsidRPr="004A2329">
        <w:rPr>
          <w:rFonts w:ascii="Times New Roman" w:hAnsi="Times New Roman" w:cs="Times New Roman"/>
          <w:sz w:val="24"/>
          <w:szCs w:val="24"/>
          <w:lang w:val="hr-HR"/>
        </w:rPr>
        <w:t>uspostavom sustava učinkovitog planiranja i upravljanja</w:t>
      </w:r>
      <w:r w:rsidR="00015B3C">
        <w:rPr>
          <w:rFonts w:ascii="Times New Roman" w:hAnsi="Times New Roman" w:cs="Times New Roman"/>
          <w:sz w:val="24"/>
          <w:szCs w:val="24"/>
          <w:lang w:val="hr-HR"/>
        </w:rPr>
        <w:t xml:space="preserve"> te jačanjem uloge turističkih zajednica kao </w:t>
      </w:r>
      <w:r w:rsidR="00015B3C" w:rsidRPr="004A2329">
        <w:rPr>
          <w:rFonts w:ascii="Times New Roman" w:hAnsi="Times New Roman" w:cs="Times New Roman"/>
          <w:sz w:val="24"/>
          <w:szCs w:val="24"/>
          <w:lang w:val="hr-HR"/>
        </w:rPr>
        <w:t xml:space="preserve">destinacijske menadžment organizacije (DMO), </w:t>
      </w:r>
      <w:r w:rsidR="00015B3C">
        <w:rPr>
          <w:rFonts w:ascii="Times New Roman" w:hAnsi="Times New Roman" w:cs="Times New Roman"/>
          <w:sz w:val="24"/>
          <w:szCs w:val="24"/>
          <w:lang w:val="hr-HR"/>
        </w:rPr>
        <w:t xml:space="preserve">očekuje se i napredak u podindeksu </w:t>
      </w:r>
      <w:r w:rsidR="00015B3C" w:rsidRPr="00F62C42">
        <w:rPr>
          <w:rFonts w:ascii="Times New Roman" w:hAnsi="Times New Roman" w:cs="Times New Roman"/>
          <w:sz w:val="24"/>
          <w:szCs w:val="24"/>
          <w:lang w:val="hr-HR"/>
        </w:rPr>
        <w:t>Pokretači potražnje</w:t>
      </w:r>
      <w:r w:rsidR="00015B3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B0" w14:textId="77777777" w:rsidR="008929EE" w:rsidRPr="000037E8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7E8">
        <w:rPr>
          <w:rFonts w:ascii="Times New Roman" w:hAnsi="Times New Roman" w:cs="Times New Roman"/>
          <w:sz w:val="24"/>
          <w:szCs w:val="24"/>
          <w:lang w:val="hr-HR"/>
        </w:rPr>
        <w:t>Istim Zakonom, turističke zajednice su dobile značajnu ulogu i važnost u samom sustavu turizma, unaprjeđenju sustava upravljanja kvalitetom, kao i u sustavu izvještavanja te pristupa turističkim podacima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, kao i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izrad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strategije pametnog i održivog</w:t>
      </w:r>
      <w:r w:rsidRPr="00A91402">
        <w:rPr>
          <w:rFonts w:ascii="Times New Roman" w:hAnsi="Times New Roman" w:cs="Times New Roman"/>
          <w:sz w:val="24"/>
          <w:szCs w:val="24"/>
          <w:lang w:val="hr-HR"/>
        </w:rPr>
        <w:t xml:space="preserve"> turizma na razini destinacija.</w:t>
      </w:r>
    </w:p>
    <w:p w14:paraId="2B2CCDB1" w14:textId="77777777" w:rsidR="008929EE" w:rsidRPr="000037E8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7E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Preduvjet za donošenje kvalitetnih javnih politika, ali i strateškog planiranja na razini destinacije, svakako je prikupljanje podataka. U tu svrhu MINTS od 2021.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godine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provodi projekt „Uspostava Sustava satelitskih računa održivog turizma Republike Hrvatske 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dalje u tekstu: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SAT-ROT RH)“, u okviru kojeg je do ožujka 2024.</w:t>
      </w:r>
      <w:r w:rsidR="007F0D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uspostavljen Metodološki okvir uspostave SAT-ROT-RH na nacionalnoj, regionalnoj i destinacijskoj razini.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a destinacijsku razinu izrađena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lista osnovnih te specifičnih pokazatelja. Razvijene destinacije (ITR</w:t>
      </w:r>
      <w:r>
        <w:rPr>
          <w:rStyle w:val="FootnoteReference"/>
          <w:rFonts w:ascii="Times New Roman" w:hAnsi="Times New Roman" w:cs="Times New Roman"/>
          <w:sz w:val="24"/>
          <w:szCs w:val="24"/>
          <w:lang w:val="hr-HR"/>
        </w:rPr>
        <w:footnoteReference w:id="9"/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1 i 2) će pokazatelje ugraditi u procese praćenja održivosti turizma. U tu svrhu će, na osnovi Zakona o turizmu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(„Narodne novine“, br.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156/23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) biti donesen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pravilni</w:t>
      </w:r>
      <w:r>
        <w:rPr>
          <w:rFonts w:ascii="Times New Roman" w:hAnsi="Times New Roman" w:cs="Times New Roman"/>
          <w:sz w:val="24"/>
          <w:szCs w:val="24"/>
          <w:lang w:val="hr-HR"/>
        </w:rPr>
        <w:t>ci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koji će pobliže definirati zadaće dionika lokalne zajednice te procese i procedure p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aćenja i podrške održivosti, kao i unaprijediti položaj i kompetencije turističkih zajednica. Također, SAT-ROT RH osigurava međunarodnu usporedivost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očekuje se povezivanje SAT-ROT RH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integriranim informacijskim sustavom turizma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, kako bi se osigurao kontinuitet praćenja održivosti turizma kroz stalno prikupljanje relevantnih podataka kroz registre MINTS-a</w:t>
      </w:r>
      <w:r w:rsidRPr="000037E8">
        <w:rPr>
          <w:rFonts w:ascii="Times New Roman" w:hAnsi="Times New Roman" w:cs="Times New Roman"/>
          <w:color w:val="1F4E79" w:themeColor="accent1" w:themeShade="80"/>
          <w:sz w:val="24"/>
          <w:szCs w:val="24"/>
          <w:lang w:val="hr-HR"/>
        </w:rPr>
        <w:t>.</w:t>
      </w:r>
    </w:p>
    <w:p w14:paraId="2B2CCDB2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560F">
        <w:rPr>
          <w:rFonts w:ascii="Times New Roman" w:hAnsi="Times New Roman" w:cs="Times New Roman"/>
          <w:sz w:val="24"/>
          <w:szCs w:val="24"/>
          <w:lang w:val="hr-HR"/>
        </w:rPr>
        <w:t>Kako bi se razvoj hrvatskog turizma mogao prilagoditi brzim promjenama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trendova i potreba,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MINTS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kontinuirano s</w:t>
      </w:r>
      <w:r>
        <w:rPr>
          <w:rFonts w:ascii="Times New Roman" w:hAnsi="Times New Roman" w:cs="Times New Roman"/>
          <w:sz w:val="24"/>
          <w:szCs w:val="24"/>
          <w:lang w:val="hr-HR"/>
        </w:rPr>
        <w:t>udjeluje i uključen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međunarodne inicijative i projekte EU te </w:t>
      </w:r>
      <w:r>
        <w:rPr>
          <w:rFonts w:ascii="Times New Roman" w:hAnsi="Times New Roman" w:cs="Times New Roman"/>
          <w:sz w:val="24"/>
          <w:szCs w:val="24"/>
          <w:lang w:val="hr-HR"/>
        </w:rPr>
        <w:t>surađuje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s drugim EU članicama radi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podizanja svijesti, 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razmjene iskustava i najboljih praksi te informacija </w:t>
      </w:r>
      <w:r>
        <w:rPr>
          <w:rFonts w:ascii="Times New Roman" w:hAnsi="Times New Roman" w:cs="Times New Roman"/>
          <w:sz w:val="24"/>
          <w:szCs w:val="24"/>
          <w:lang w:val="hr-HR"/>
        </w:rPr>
        <w:t>za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jačanje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uključivog, otpornog i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 inovativnog razvoja turizma 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Republici </w:t>
      </w:r>
      <w:r w:rsidRPr="0046560F">
        <w:rPr>
          <w:rFonts w:ascii="Times New Roman" w:hAnsi="Times New Roman" w:cs="Times New Roman"/>
          <w:sz w:val="24"/>
          <w:szCs w:val="24"/>
          <w:lang w:val="hr-HR"/>
        </w:rPr>
        <w:t xml:space="preserve">Hrvatskoj i EU. </w:t>
      </w:r>
    </w:p>
    <w:p w14:paraId="2B2CCDB3" w14:textId="77777777" w:rsidR="008929EE" w:rsidRPr="000037E8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pogledu podindeksa Zaštite i sigurnosti, s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igurnost je jedna od prioritetnih komparativnih prednosti turističkih destinacija, a postiže se povećanjem sigurnosnog aspekta stranih turista za vrijeme boravka u Republici Hrvatskoj.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time u vezi, MINTS </w:t>
      </w:r>
      <w:r w:rsidRPr="00F661F2">
        <w:rPr>
          <w:rFonts w:ascii="Times New Roman" w:hAnsi="Times New Roman" w:cs="Times New Roman"/>
          <w:sz w:val="24"/>
          <w:szCs w:val="24"/>
          <w:lang w:val="hr-HR"/>
        </w:rPr>
        <w:t xml:space="preserve">potiče </w:t>
      </w:r>
      <w:r w:rsidR="00F661F2" w:rsidRPr="00F661F2">
        <w:rPr>
          <w:rFonts w:ascii="Times New Roman" w:hAnsi="Times New Roman" w:cs="Times New Roman"/>
          <w:sz w:val="24"/>
          <w:szCs w:val="24"/>
          <w:lang w:val="hr-HR"/>
        </w:rPr>
        <w:t>pozicioniranje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Hrvatske kao sigurne turističke destinacije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 je 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>sufinancira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aktivnosti HGSS-a kroz projekt „Program unapređenja sigurnosti i zaštite i spašavanja turista na prostorima izvan gradova i javnih prometnica“. </w:t>
      </w:r>
    </w:p>
    <w:p w14:paraId="2B2CCDB4" w14:textId="77777777" w:rsidR="008929EE" w:rsidRPr="000037E8" w:rsidRDefault="0040707C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MINTS je također</w:t>
      </w:r>
      <w:r w:rsidR="00D341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74C80">
        <w:rPr>
          <w:rFonts w:ascii="Times New Roman" w:hAnsi="Times New Roman" w:cs="Times New Roman"/>
          <w:sz w:val="24"/>
          <w:szCs w:val="24"/>
          <w:lang w:val="hr-HR"/>
        </w:rPr>
        <w:t xml:space="preserve">sudjelovao </w:t>
      </w:r>
      <w:r w:rsidR="008929EE" w:rsidRPr="000037E8">
        <w:rPr>
          <w:rFonts w:ascii="Times New Roman" w:hAnsi="Times New Roman" w:cs="Times New Roman"/>
          <w:sz w:val="24"/>
          <w:szCs w:val="24"/>
          <w:lang w:val="hr-HR"/>
        </w:rPr>
        <w:t>u projektu M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inistarstva </w:t>
      </w:r>
      <w:r w:rsidR="00C74C80">
        <w:rPr>
          <w:rFonts w:ascii="Times New Roman" w:hAnsi="Times New Roman" w:cs="Times New Roman"/>
          <w:sz w:val="24"/>
          <w:szCs w:val="24"/>
          <w:lang w:val="hr-HR"/>
        </w:rPr>
        <w:t xml:space="preserve">unutarnjih 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poslova Republike Hrvatske </w:t>
      </w:r>
      <w:r w:rsidR="008929EE" w:rsidRPr="000037E8">
        <w:rPr>
          <w:rFonts w:ascii="Times New Roman" w:hAnsi="Times New Roman" w:cs="Times New Roman"/>
          <w:sz w:val="24"/>
          <w:szCs w:val="24"/>
          <w:lang w:val="hr-HR"/>
        </w:rPr>
        <w:t>„Sigurna turistička destinacija“ kroz sufinanciranje troškova smještaja i prehrane policijskih službenika drugih država za vrijeme njihovog boravka u Republici Hrvatskoj te provedb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929EE"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aktivnosti i organizacij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929EE" w:rsidRPr="000037E8">
        <w:rPr>
          <w:rFonts w:ascii="Times New Roman" w:hAnsi="Times New Roman" w:cs="Times New Roman"/>
          <w:sz w:val="24"/>
          <w:szCs w:val="24"/>
          <w:lang w:val="hr-HR"/>
        </w:rPr>
        <w:t xml:space="preserve"> događaja vezanih uz Projekt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2CCDB5" w14:textId="77777777" w:rsidR="00BD5C3D" w:rsidRDefault="0040707C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MINTS je</w:t>
      </w:r>
      <w:r w:rsidR="008929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74C80">
        <w:rPr>
          <w:rFonts w:ascii="Times New Roman" w:hAnsi="Times New Roman" w:cs="Times New Roman"/>
          <w:sz w:val="24"/>
          <w:szCs w:val="24"/>
          <w:lang w:val="hr-HR"/>
        </w:rPr>
        <w:t xml:space="preserve">sufinancirao </w:t>
      </w:r>
      <w:r w:rsidR="008929EE" w:rsidRPr="000037E8">
        <w:rPr>
          <w:rFonts w:ascii="Times New Roman" w:hAnsi="Times New Roman" w:cs="Times New Roman"/>
          <w:sz w:val="24"/>
          <w:szCs w:val="24"/>
          <w:lang w:val="hr-HR"/>
        </w:rPr>
        <w:t>i troškove osiguranja dodatnih timova medicinske pomoći (turističke ambulante) u destinacijama koje bilježe znatni porast broja turista, a ne raspolažu jačim medicinskim ustanovama za kvalitetno pružanje medicinskih usluga turistima.</w:t>
      </w:r>
    </w:p>
    <w:p w14:paraId="2B2CCDB6" w14:textId="77777777" w:rsidR="008929EE" w:rsidRDefault="008929EE" w:rsidP="008929EE">
      <w:pPr>
        <w:pStyle w:val="Heading1"/>
        <w:rPr>
          <w:lang w:val="hr-HR"/>
        </w:rPr>
      </w:pPr>
      <w:bookmarkStart w:id="11" w:name="_Toc168993963"/>
      <w:r>
        <w:rPr>
          <w:lang w:val="hr-HR"/>
        </w:rPr>
        <w:t>Zaključak</w:t>
      </w:r>
      <w:bookmarkEnd w:id="11"/>
    </w:p>
    <w:p w14:paraId="2B2CCDB7" w14:textId="77777777" w:rsidR="008929EE" w:rsidRDefault="008929EE" w:rsidP="008929EE">
      <w:pPr>
        <w:rPr>
          <w:lang w:val="hr-HR"/>
        </w:rPr>
      </w:pPr>
    </w:p>
    <w:p w14:paraId="2B2CCDB8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4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Izvješće o provedbi Strategije razvoja održivog turizma do 2030. godine pruža sveobuhvatan pregled postignuća tijekom 2023. godine.</w:t>
      </w:r>
    </w:p>
    <w:p w14:paraId="2B2CCDB9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Iako je u 2023. godini globalno okruženje suočeno s visokom inflacijom, manjkom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 xml:space="preserve"> radne snage, poremećaji</w:t>
      </w:r>
      <w:r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 xml:space="preserve"> u lancima opskrbe nakon pandemij</w:t>
      </w:r>
      <w:r>
        <w:rPr>
          <w:rFonts w:ascii="Times New Roman" w:hAnsi="Times New Roman" w:cs="Times New Roman"/>
          <w:sz w:val="24"/>
          <w:szCs w:val="24"/>
          <w:lang w:val="hr-HR"/>
        </w:rPr>
        <w:t>e bolesti COVID-19, ruskom ratnom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r-HR"/>
        </w:rPr>
        <w:t>gresijom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 xml:space="preserve"> na Ukrajinu,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>povećanje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7228F5">
        <w:rPr>
          <w:rFonts w:ascii="Times New Roman" w:hAnsi="Times New Roman" w:cs="Times New Roman"/>
          <w:sz w:val="24"/>
          <w:szCs w:val="24"/>
          <w:lang w:val="hr-HR"/>
        </w:rPr>
        <w:t xml:space="preserve"> kamatnih stopa te porast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om troškova energije, turistički sektor 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u cijelom svijetu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pokazao je napredak, a 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tome je pridonijela i </w:t>
      </w:r>
      <w:r>
        <w:rPr>
          <w:rFonts w:ascii="Times New Roman" w:hAnsi="Times New Roman" w:cs="Times New Roman"/>
          <w:sz w:val="24"/>
          <w:szCs w:val="24"/>
          <w:lang w:val="hr-HR"/>
        </w:rPr>
        <w:t>Republika Hrvatska sa svojim turističkim rezultatima</w:t>
      </w:r>
      <w:r w:rsidRPr="00246D2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BA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podataka 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>Turističkog barometra UN Turizma</w:t>
      </w:r>
      <w:r>
        <w:rPr>
          <w:rFonts w:ascii="Times New Roman" w:hAnsi="Times New Roman" w:cs="Times New Roman"/>
          <w:sz w:val="24"/>
          <w:szCs w:val="24"/>
          <w:lang w:val="hr-HR"/>
        </w:rPr>
        <w:t>, u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>kupni izvozni prihodi od međunarodnog turizma, uključujući prihode i putnički prijevoz, dosegnuli su 1,7 trilijuna USD u 2023.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godini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 xml:space="preserve">, oko 96% 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>razin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 xml:space="preserve"> prije pandemije u realnim vrijednostima (tj. isključujući inflaciju).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>Izravni BDP turizma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 xml:space="preserve"> u 2023. godini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 xml:space="preserve"> oporavio se na razin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 xml:space="preserve"> prije pandemije, dosegnuvši procijenjenih 3,3 trilijuna USD, što je ekvivalentno 3% globalnog BDP-a.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B2CCDBB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6AFD">
        <w:rPr>
          <w:rFonts w:ascii="Times New Roman" w:hAnsi="Times New Roman" w:cs="Times New Roman"/>
          <w:sz w:val="24"/>
          <w:szCs w:val="24"/>
          <w:lang w:val="hr-HR"/>
        </w:rPr>
        <w:t>Kako se najavljuje iz UN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Turizma</w:t>
      </w:r>
      <w:r w:rsidRPr="00C76AFD">
        <w:rPr>
          <w:rFonts w:ascii="Times New Roman" w:hAnsi="Times New Roman" w:cs="Times New Roman"/>
          <w:sz w:val="24"/>
          <w:szCs w:val="24"/>
          <w:lang w:val="hr-HR"/>
        </w:rPr>
        <w:t xml:space="preserve">, turisti će u 2024.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godini </w:t>
      </w:r>
      <w:r w:rsidRPr="00C76AFD">
        <w:rPr>
          <w:rFonts w:ascii="Times New Roman" w:hAnsi="Times New Roman" w:cs="Times New Roman"/>
          <w:sz w:val="24"/>
          <w:szCs w:val="24"/>
          <w:lang w:val="hr-HR"/>
        </w:rPr>
        <w:t>još više tražiti vrijednost za novac i putovati bliže domu. Održive prakse i prilagodljivost također imaju sve veću ulogu u izboru, a nedostatak osoblja turističkim poduzećima i dalje je kritičan i teško se nositi s velikom potražnjom.</w:t>
      </w:r>
    </w:p>
    <w:p w14:paraId="2B2CCDBC" w14:textId="77777777" w:rsidR="008929EE" w:rsidRDefault="008929EE" w:rsidP="008929EE">
      <w:pPr>
        <w:jc w:val="both"/>
        <w:rPr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Republika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 xml:space="preserve">Hrvatska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spremna za te izazove te je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 xml:space="preserve">već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globalno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prepoznata kao predvodnik u razvoju održivog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turizma, što je potvrđeno na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prošlogodišnjem Forumu na visokoj razini za 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rživi razvoj u UN-u u New Yorku. Republika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Hrvatska je za sada jedina zemlja sa Zakonom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turizmu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koji propisuje alate za održivo upravljanje destinacijama na temelju podataka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2B1CD0">
        <w:rPr>
          <w:lang w:val="hr-HR"/>
        </w:rPr>
        <w:t xml:space="preserve"> </w:t>
      </w:r>
    </w:p>
    <w:p w14:paraId="2B2CCDBD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Sveobuhvatna reforma upravljanja razvojem turizma rezultirala je da je 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čitav turistički sektor fokusiran na održivost, povećanje kvalitete te cjelogodišnju turističku ponudu</w:t>
      </w:r>
      <w:r>
        <w:rPr>
          <w:rFonts w:ascii="Times New Roman" w:hAnsi="Times New Roman" w:cs="Times New Roman"/>
          <w:sz w:val="24"/>
          <w:szCs w:val="24"/>
          <w:lang w:val="hr-HR"/>
        </w:rPr>
        <w:t>. R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>ezultati iz prvog kvartala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2024. godine,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koji ukazuju na 16% više dolazaka i 15%</w:t>
      </w:r>
      <w:r w:rsidRPr="002B1CD0">
        <w:rPr>
          <w:rFonts w:ascii="Times New Roman" w:hAnsi="Times New Roman" w:cs="Times New Roman"/>
          <w:sz w:val="24"/>
          <w:szCs w:val="24"/>
          <w:lang w:val="hr-HR"/>
        </w:rPr>
        <w:t xml:space="preserve"> više noćenja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odnosu na isto razdoblje prošle godine, ukazuju na ostvarenje strateškog cilja da Republika Hrvatska postane cjelogodišnja destinacija.</w:t>
      </w:r>
      <w:r w:rsidRPr="008658B5">
        <w:t xml:space="preserve"> </w:t>
      </w:r>
      <w:r>
        <w:rPr>
          <w:rFonts w:ascii="Times New Roman" w:hAnsi="Times New Roman" w:cs="Times New Roman"/>
          <w:sz w:val="24"/>
          <w:szCs w:val="24"/>
        </w:rPr>
        <w:t>Također</w:t>
      </w:r>
      <w:r w:rsidRPr="00D95B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Republika </w:t>
      </w:r>
      <w:r w:rsidRPr="00EC7BC0">
        <w:rPr>
          <w:rFonts w:ascii="Times New Roman" w:hAnsi="Times New Roman" w:cs="Times New Roman"/>
          <w:sz w:val="24"/>
          <w:szCs w:val="24"/>
          <w:lang w:val="hr-HR"/>
        </w:rPr>
        <w:t>Hrvatska</w:t>
      </w:r>
      <w:r w:rsidRPr="008658B5">
        <w:rPr>
          <w:rFonts w:ascii="Times New Roman" w:hAnsi="Times New Roman" w:cs="Times New Roman"/>
          <w:sz w:val="24"/>
          <w:szCs w:val="24"/>
          <w:lang w:val="hr-HR"/>
        </w:rPr>
        <w:t xml:space="preserve"> se u 2023. godini popela s 32. na 25. mjesto po prihodima od međunarodnog turizma.</w:t>
      </w:r>
    </w:p>
    <w:p w14:paraId="2B2CCDBE" w14:textId="77777777" w:rsidR="008929EE" w:rsidRPr="002B1CD0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Rekordan iznos bespovratnih sredstva za sektor turizma osiguran kroz pozive u okviru kojih su se tijekom 2023. godine odabrali projekti za zelenu i digitalnu tranziciju privatnih poduzetnika te razvoj turističke infrastrukture, u 2024. i 2025. godin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pokrenut će niz investicija za otpornost</w:t>
      </w:r>
      <w:r w:rsidRPr="00420F79">
        <w:rPr>
          <w:rFonts w:ascii="Times New Roman" w:hAnsi="Times New Roman" w:cs="Times New Roman"/>
          <w:sz w:val="24"/>
          <w:szCs w:val="24"/>
          <w:lang w:val="hr-HR"/>
        </w:rPr>
        <w:t xml:space="preserve"> poduzetnika u cijelom lancu vrijednosti turizma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te za </w:t>
      </w:r>
      <w:r w:rsidRPr="00420F79">
        <w:rPr>
          <w:rFonts w:ascii="Times New Roman" w:hAnsi="Times New Roman" w:cs="Times New Roman"/>
          <w:sz w:val="24"/>
          <w:szCs w:val="24"/>
          <w:lang w:val="hr-HR"/>
        </w:rPr>
        <w:t>razvoj turističkih proizvoda visoke dodane vrijednosti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zdravstvenom, aktivnom i kulturnom turizmu. </w:t>
      </w:r>
    </w:p>
    <w:p w14:paraId="2B2CCDBF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Poboljšanje</w:t>
      </w:r>
      <w:r w:rsidRPr="00F60579">
        <w:rPr>
          <w:rFonts w:ascii="Times New Roman" w:hAnsi="Times New Roman" w:cs="Times New Roman"/>
          <w:sz w:val="24"/>
          <w:szCs w:val="24"/>
          <w:lang w:val="hr-HR"/>
        </w:rPr>
        <w:t xml:space="preserve"> kvalitete ljudskih potencijala u sektoru radi unaprjeđenja kvalitete usluga, povećanja produktivno</w:t>
      </w:r>
      <w:r>
        <w:rPr>
          <w:rFonts w:ascii="Times New Roman" w:hAnsi="Times New Roman" w:cs="Times New Roman"/>
          <w:sz w:val="24"/>
          <w:szCs w:val="24"/>
          <w:lang w:val="hr-HR"/>
        </w:rPr>
        <w:t>sti i zapošljivosti, motiviranje</w:t>
      </w:r>
      <w:r w:rsidRPr="00F60579">
        <w:rPr>
          <w:rFonts w:ascii="Times New Roman" w:hAnsi="Times New Roman" w:cs="Times New Roman"/>
          <w:sz w:val="24"/>
          <w:szCs w:val="24"/>
          <w:lang w:val="hr-HR"/>
        </w:rPr>
        <w:t xml:space="preserve"> mladih za o</w:t>
      </w:r>
      <w:r>
        <w:rPr>
          <w:rFonts w:ascii="Times New Roman" w:hAnsi="Times New Roman" w:cs="Times New Roman"/>
          <w:sz w:val="24"/>
          <w:szCs w:val="24"/>
          <w:lang w:val="hr-HR"/>
        </w:rPr>
        <w:t>brazovanje u turizmu, socijalno uključivanje</w:t>
      </w:r>
      <w:r w:rsidRPr="00F60579">
        <w:rPr>
          <w:rFonts w:ascii="Times New Roman" w:hAnsi="Times New Roman" w:cs="Times New Roman"/>
          <w:sz w:val="24"/>
          <w:szCs w:val="24"/>
          <w:lang w:val="hr-HR"/>
        </w:rPr>
        <w:t xml:space="preserve"> osoba s invaliditetom te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sveobuhvatno </w:t>
      </w:r>
      <w:r w:rsidRPr="00F60579">
        <w:rPr>
          <w:rFonts w:ascii="Times New Roman" w:hAnsi="Times New Roman" w:cs="Times New Roman"/>
          <w:sz w:val="24"/>
          <w:szCs w:val="24"/>
          <w:lang w:val="hr-HR"/>
        </w:rPr>
        <w:t>jačanje kapaciteta za održivi razvoj turizma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dalje će se nastaviti poticati kroz mjere i aktivnosti MINTS-a za kako bi se osigurao konkurentan i inovativan turizam u Republici Hrvatskoj.</w:t>
      </w:r>
    </w:p>
    <w:p w14:paraId="2B2CCDC0" w14:textId="77777777" w:rsid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0579">
        <w:rPr>
          <w:rFonts w:ascii="Times New Roman" w:hAnsi="Times New Roman" w:cs="Times New Roman"/>
          <w:sz w:val="24"/>
          <w:szCs w:val="24"/>
          <w:lang w:val="hr-HR"/>
        </w:rPr>
        <w:t>Reformski procesi se i dalje nastavljaju pa je tako Zakonom o turizmu propisano donošenje provedbenih propisa tijekom 2024. godine, kojima će se detaljnije urediti provođenje zakona</w:t>
      </w:r>
      <w:r>
        <w:rPr>
          <w:rFonts w:ascii="Times New Roman" w:hAnsi="Times New Roman" w:cs="Times New Roman"/>
          <w:sz w:val="24"/>
          <w:szCs w:val="24"/>
          <w:lang w:val="hr-HR"/>
        </w:rPr>
        <w:t>, a predstoji i razvoj i nadogradnja novih IT sustava za pametno upravljanje u turizmu, kao i daljnja ulaganja u zaštitu i sigurnost kako bi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smo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osigurali otpornost turizma. </w:t>
      </w:r>
    </w:p>
    <w:p w14:paraId="2B2CCDC1" w14:textId="77777777" w:rsidR="008929EE" w:rsidRPr="00D33610" w:rsidRDefault="008929EE" w:rsidP="008929EE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436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Usprkos izazovima,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Republika </w:t>
      </w:r>
      <w:r w:rsidRPr="006436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Hrvatska je postavila čvrste temelje za dugoročni održivi razvoj turizma kroz sveobuhvatne reforme i strateške inicijative. Kontinuirano ulaganje u zelenu i digitalnu tranziciju, jačanje ljudskih potencijala, unaprjeđenje kvalitete turističke ponude te zaštita okoliša i prirodnih resursa, osiguravaju da hrvatski turizam postane otporniji, konkurentniji i održiviji</w:t>
      </w:r>
      <w:r w:rsidRPr="00D3361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7A0ED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B2CCDC2" w14:textId="77777777" w:rsidR="008929EE" w:rsidRPr="008929EE" w:rsidRDefault="008929EE" w:rsidP="008929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Slijedom svega navedenog, može se zaključiti </w:t>
      </w:r>
      <w:r w:rsidR="0040707C">
        <w:rPr>
          <w:rFonts w:ascii="Times New Roman" w:hAnsi="Times New Roman" w:cs="Times New Roman"/>
          <w:sz w:val="24"/>
          <w:szCs w:val="24"/>
          <w:lang w:val="hr-HR"/>
        </w:rPr>
        <w:t>kako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provedba Strategije razvoja održivog turizma do 2030. god</w:t>
      </w:r>
      <w:r w:rsidR="00F661F2">
        <w:rPr>
          <w:rFonts w:ascii="Times New Roman" w:hAnsi="Times New Roman" w:cs="Times New Roman"/>
          <w:sz w:val="24"/>
          <w:szCs w:val="24"/>
          <w:lang w:val="hr-HR"/>
        </w:rPr>
        <w:t>ine u 2023. godini bila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uspješna, </w:t>
      </w:r>
      <w:r w:rsidR="00F661F2">
        <w:rPr>
          <w:rFonts w:ascii="Times New Roman" w:hAnsi="Times New Roman" w:cs="Times New Roman"/>
          <w:sz w:val="24"/>
          <w:szCs w:val="24"/>
          <w:lang w:val="hr-HR"/>
        </w:rPr>
        <w:t xml:space="preserve">te se prema trenutno dostupnim </w:t>
      </w:r>
      <w:r w:rsidR="00F661F2" w:rsidRPr="007B471F">
        <w:rPr>
          <w:rFonts w:ascii="Times New Roman" w:hAnsi="Times New Roman" w:cs="Times New Roman"/>
          <w:sz w:val="24"/>
          <w:szCs w:val="24"/>
          <w:lang w:val="hr-HR"/>
        </w:rPr>
        <w:t>pokazateljima</w:t>
      </w:r>
      <w:r w:rsidRPr="007B471F">
        <w:rPr>
          <w:rFonts w:ascii="Times New Roman" w:hAnsi="Times New Roman" w:cs="Times New Roman"/>
          <w:sz w:val="24"/>
          <w:szCs w:val="24"/>
          <w:lang w:val="hr-HR"/>
        </w:rPr>
        <w:t xml:space="preserve"> učinaka, </w:t>
      </w:r>
      <w:r w:rsidR="00F661F2" w:rsidRPr="007B471F">
        <w:rPr>
          <w:rFonts w:ascii="Times New Roman" w:hAnsi="Times New Roman" w:cs="Times New Roman"/>
          <w:sz w:val="24"/>
          <w:szCs w:val="24"/>
          <w:lang w:val="hr-HR"/>
        </w:rPr>
        <w:t>očekuje daljnji</w:t>
      </w:r>
      <w:r w:rsidRPr="007B47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471F" w:rsidRPr="007B471F">
        <w:rPr>
          <w:rFonts w:ascii="Times New Roman" w:hAnsi="Times New Roman" w:cs="Times New Roman"/>
          <w:sz w:val="24"/>
          <w:szCs w:val="24"/>
          <w:lang w:val="hr-HR"/>
        </w:rPr>
        <w:t xml:space="preserve">rast pozitivnog trenda u narednom razdoblju. </w:t>
      </w:r>
    </w:p>
    <w:p w14:paraId="2B2CCDC3" w14:textId="77777777" w:rsidR="008929EE" w:rsidRPr="00C6507B" w:rsidRDefault="008929EE" w:rsidP="008929EE">
      <w:pPr>
        <w:rPr>
          <w:lang w:val="hr-HR"/>
        </w:rPr>
      </w:pPr>
    </w:p>
    <w:p w14:paraId="2B2CCDC4" w14:textId="77777777" w:rsidR="00D95ABB" w:rsidRDefault="00D95ABB" w:rsidP="00C6507B">
      <w:pPr>
        <w:rPr>
          <w:lang w:val="hr-HR"/>
        </w:rPr>
      </w:pPr>
    </w:p>
    <w:p w14:paraId="2B2CCDC5" w14:textId="77777777" w:rsidR="00A45007" w:rsidRPr="004454DE" w:rsidRDefault="00A45007" w:rsidP="00A45007">
      <w:pPr>
        <w:rPr>
          <w:rFonts w:ascii="Times New Roman" w:eastAsiaTheme="majorEastAsia" w:hAnsi="Times New Roman" w:cstheme="majorBidi"/>
          <w:b/>
          <w:sz w:val="24"/>
          <w:szCs w:val="40"/>
          <w:lang w:val="hr-HR"/>
        </w:rPr>
      </w:pPr>
      <w:r w:rsidRPr="004454DE">
        <w:rPr>
          <w:rFonts w:ascii="Times New Roman" w:eastAsiaTheme="majorEastAsia" w:hAnsi="Times New Roman" w:cstheme="majorBidi"/>
          <w:b/>
          <w:sz w:val="24"/>
          <w:szCs w:val="40"/>
          <w:lang w:val="hr-HR"/>
        </w:rPr>
        <w:t>Prilog 1. Predložak za izradu godišnjeg izvješća o provedbi strategije/ višesektorske strategije</w:t>
      </w:r>
    </w:p>
    <w:p w14:paraId="2B2CCDC6" w14:textId="77777777" w:rsidR="00817F1E" w:rsidRDefault="00817F1E" w:rsidP="00C6507B">
      <w:pPr>
        <w:rPr>
          <w:lang w:val="hr-HR"/>
        </w:rPr>
      </w:pPr>
    </w:p>
    <w:p w14:paraId="2B2CCDC7" w14:textId="77777777" w:rsidR="00817F1E" w:rsidRPr="00C6507B" w:rsidRDefault="00817F1E" w:rsidP="006436AF">
      <w:pPr>
        <w:rPr>
          <w:lang w:val="hr-HR"/>
        </w:rPr>
      </w:pPr>
    </w:p>
    <w:sectPr w:rsidR="00817F1E" w:rsidRPr="00C6507B" w:rsidSect="009E0DE0">
      <w:footerReference w:type="defaul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CCDCC" w14:textId="77777777" w:rsidR="00833E76" w:rsidRDefault="00833E76" w:rsidP="009E0DE0">
      <w:pPr>
        <w:spacing w:after="0" w:line="240" w:lineRule="auto"/>
      </w:pPr>
      <w:r>
        <w:separator/>
      </w:r>
    </w:p>
  </w:endnote>
  <w:endnote w:type="continuationSeparator" w:id="0">
    <w:p w14:paraId="2B2CCDCD" w14:textId="77777777" w:rsidR="00833E76" w:rsidRDefault="00833E76" w:rsidP="009E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021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CCDCE" w14:textId="77777777" w:rsidR="008929EE" w:rsidRDefault="007B25E0">
        <w:pPr>
          <w:pStyle w:val="Footer"/>
          <w:jc w:val="center"/>
        </w:pPr>
      </w:p>
    </w:sdtContent>
  </w:sdt>
  <w:p w14:paraId="2B2CCDCF" w14:textId="77777777" w:rsidR="008929EE" w:rsidRDefault="00892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68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CCDD0" w14:textId="2E4CA519" w:rsidR="00BD027A" w:rsidRDefault="00BD0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5E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B2CCDD1" w14:textId="77777777" w:rsidR="00BD027A" w:rsidRDefault="00BD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CDCA" w14:textId="77777777" w:rsidR="00833E76" w:rsidRDefault="00833E76" w:rsidP="009E0DE0">
      <w:pPr>
        <w:spacing w:after="0" w:line="240" w:lineRule="auto"/>
      </w:pPr>
      <w:r>
        <w:separator/>
      </w:r>
    </w:p>
  </w:footnote>
  <w:footnote w:type="continuationSeparator" w:id="0">
    <w:p w14:paraId="2B2CCDCB" w14:textId="77777777" w:rsidR="00833E76" w:rsidRDefault="00833E76" w:rsidP="009E0DE0">
      <w:pPr>
        <w:spacing w:after="0" w:line="240" w:lineRule="auto"/>
      </w:pPr>
      <w:r>
        <w:continuationSeparator/>
      </w:r>
    </w:p>
  </w:footnote>
  <w:footnote w:id="1">
    <w:p w14:paraId="2B2CCDD2" w14:textId="77777777" w:rsidR="008929EE" w:rsidRPr="003F4E34" w:rsidRDefault="008929EE" w:rsidP="008929EE">
      <w:pPr>
        <w:pStyle w:val="FootnoteText"/>
        <w:rPr>
          <w:rFonts w:ascii="Times New Roman" w:hAnsi="Times New Roman" w:cs="Times New Roman"/>
        </w:rPr>
      </w:pPr>
      <w:r w:rsidRPr="004424EC">
        <w:rPr>
          <w:rStyle w:val="FootnoteReference"/>
          <w:rFonts w:ascii="Times New Roman" w:hAnsi="Times New Roman" w:cs="Times New Roman"/>
        </w:rPr>
        <w:footnoteRef/>
      </w:r>
      <w:r w:rsidRPr="004424EC">
        <w:rPr>
          <w:rFonts w:ascii="Times New Roman" w:hAnsi="Times New Roman" w:cs="Times New Roman"/>
        </w:rPr>
        <w:t xml:space="preserve"> </w:t>
      </w:r>
      <w:hyperlink r:id="rId1" w:history="1">
        <w:r w:rsidRPr="003F4E34">
          <w:rPr>
            <w:rStyle w:val="Hyperlink"/>
            <w:rFonts w:ascii="Times New Roman" w:hAnsi="Times New Roman" w:cs="Times New Roman"/>
          </w:rPr>
          <w:t>https://narodne-novine.nn.hr/clanci/sluzbeni/full/2023_01_2_18.html</w:t>
        </w:r>
      </w:hyperlink>
    </w:p>
  </w:footnote>
  <w:footnote w:id="2">
    <w:p w14:paraId="2B2CCDD3" w14:textId="77777777" w:rsidR="008929EE" w:rsidRPr="00D95B55" w:rsidRDefault="008929EE" w:rsidP="008929EE">
      <w:pPr>
        <w:pStyle w:val="FootnoteText"/>
        <w:rPr>
          <w:lang w:val="hr-HR"/>
        </w:rPr>
      </w:pPr>
      <w:r w:rsidRPr="003F4E34">
        <w:rPr>
          <w:rStyle w:val="FootnoteReference"/>
          <w:rFonts w:ascii="Times New Roman" w:hAnsi="Times New Roman" w:cs="Times New Roman"/>
        </w:rPr>
        <w:footnoteRef/>
      </w:r>
      <w:r w:rsidRPr="003F4E34">
        <w:rPr>
          <w:rFonts w:ascii="Times New Roman" w:hAnsi="Times New Roman" w:cs="Times New Roman"/>
        </w:rPr>
        <w:t xml:space="preserve"> </w:t>
      </w:r>
      <w:hyperlink r:id="rId2" w:anchor=":~:text=International%20tourism%20reached%2097%25%20of,the%20first%20quarter%20of%202024&amp;text=pre%2Dpandemic%20levels-,International%20arrivals%20(overnight%20visitors)%20reached%2097%25%20of%202019%20levels,recovery%20of%20pre%2Dpandemic%20numbers" w:history="1">
        <w:r w:rsidR="004424EC" w:rsidRPr="003F4E34">
          <w:rPr>
            <w:rStyle w:val="Hyperlink"/>
            <w:rFonts w:ascii="Times New Roman" w:hAnsi="Times New Roman" w:cs="Times New Roman"/>
          </w:rPr>
          <w:t>https://www.unwto.org/un-tourism-world-tourism-barometer-data#:~:text=International%20tourism%20reached%2097%25%20of,the%20first%20quarter%20of%202024&amp;text=pre%2Dpandemic%20levels-,International%20arrivals%20(overnight%20visitors)%20reached%2097%25%20of%202019%20levels,recovery%20of%20pre%2Dpandemic%20numbers</w:t>
        </w:r>
      </w:hyperlink>
      <w:r w:rsidRPr="003F4E34">
        <w:rPr>
          <w:rFonts w:ascii="Times New Roman" w:hAnsi="Times New Roman" w:cs="Times New Roman"/>
        </w:rPr>
        <w:t>.</w:t>
      </w:r>
      <w:r w:rsidR="004424EC">
        <w:rPr>
          <w:rFonts w:ascii="Times New Roman" w:hAnsi="Times New Roman" w:cs="Times New Roman"/>
        </w:rPr>
        <w:t xml:space="preserve"> </w:t>
      </w:r>
    </w:p>
  </w:footnote>
  <w:footnote w:id="3">
    <w:p w14:paraId="2B2CCDD4" w14:textId="77777777" w:rsidR="008929EE" w:rsidRPr="003F4E34" w:rsidRDefault="008929EE" w:rsidP="008929EE">
      <w:pPr>
        <w:pStyle w:val="FootnoteText"/>
        <w:rPr>
          <w:rFonts w:ascii="Times New Roman" w:hAnsi="Times New Roman" w:cs="Times New Roman"/>
        </w:rPr>
      </w:pPr>
      <w:r w:rsidRPr="00823175">
        <w:rPr>
          <w:rStyle w:val="FootnoteReference"/>
          <w:rFonts w:ascii="Times New Roman" w:hAnsi="Times New Roman" w:cs="Times New Roman"/>
        </w:rPr>
        <w:footnoteRef/>
      </w:r>
      <w:hyperlink r:id="rId3" w:history="1">
        <w:r w:rsidRPr="003F4E34">
          <w:rPr>
            <w:rStyle w:val="Hyperlink"/>
            <w:rFonts w:ascii="Times New Roman" w:hAnsi="Times New Roman" w:cs="Times New Roman"/>
          </w:rPr>
          <w:t>https://mint.gov.hr/UserDocsImages//2023_dokumenti//Nacionalni%20plan%20razvoja%20odr%C5%BEivog%20turizma%20do%202027.%20godine%20i%20Akcijski%20plan%20do%202025.%20godine.pdf</w:t>
        </w:r>
      </w:hyperlink>
    </w:p>
  </w:footnote>
  <w:footnote w:id="4">
    <w:p w14:paraId="2B2CCDD5" w14:textId="77777777" w:rsidR="008929EE" w:rsidRPr="003F4E34" w:rsidRDefault="008929EE" w:rsidP="008929EE">
      <w:pPr>
        <w:pStyle w:val="FootnoteText"/>
        <w:rPr>
          <w:rFonts w:ascii="Times New Roman" w:hAnsi="Times New Roman" w:cs="Times New Roman"/>
          <w:lang w:val="hr-HR"/>
        </w:rPr>
      </w:pPr>
      <w:r w:rsidRPr="003F4E34">
        <w:rPr>
          <w:rStyle w:val="FootnoteReference"/>
          <w:rFonts w:ascii="Times New Roman" w:hAnsi="Times New Roman" w:cs="Times New Roman"/>
        </w:rPr>
        <w:footnoteRef/>
      </w:r>
      <w:r w:rsidRPr="003F4E34">
        <w:rPr>
          <w:rFonts w:ascii="Times New Roman" w:hAnsi="Times New Roman" w:cs="Times New Roman"/>
        </w:rPr>
        <w:t xml:space="preserve"> </w:t>
      </w:r>
      <w:hyperlink r:id="rId4" w:history="1">
        <w:r w:rsidR="00823175" w:rsidRPr="003F4E34">
          <w:rPr>
            <w:rStyle w:val="Hyperlink"/>
            <w:rFonts w:ascii="Times New Roman" w:hAnsi="Times New Roman" w:cs="Times New Roman"/>
          </w:rPr>
          <w:t>https://narodne-novine.nn.hr/clanci/sluzbeni/2023_12_156_2382.html</w:t>
        </w:r>
      </w:hyperlink>
      <w:r w:rsidR="00823175" w:rsidRPr="003F4E34">
        <w:rPr>
          <w:rFonts w:ascii="Times New Roman" w:hAnsi="Times New Roman" w:cs="Times New Roman"/>
        </w:rPr>
        <w:t xml:space="preserve"> </w:t>
      </w:r>
    </w:p>
  </w:footnote>
  <w:footnote w:id="5">
    <w:p w14:paraId="2B2CCDD6" w14:textId="77777777" w:rsidR="008929EE" w:rsidRPr="003F4E34" w:rsidRDefault="008929EE" w:rsidP="008929EE">
      <w:pPr>
        <w:pStyle w:val="FootnoteText"/>
        <w:rPr>
          <w:rFonts w:ascii="Times New Roman" w:hAnsi="Times New Roman" w:cs="Times New Roman"/>
        </w:rPr>
      </w:pPr>
      <w:r w:rsidRPr="003F4E34">
        <w:rPr>
          <w:rStyle w:val="FootnoteReference"/>
          <w:rFonts w:ascii="Times New Roman" w:hAnsi="Times New Roman" w:cs="Times New Roman"/>
        </w:rPr>
        <w:footnoteRef/>
      </w:r>
      <w:r w:rsidRPr="003F4E34">
        <w:rPr>
          <w:rFonts w:ascii="Times New Roman" w:hAnsi="Times New Roman" w:cs="Times New Roman"/>
        </w:rPr>
        <w:t xml:space="preserve"> </w:t>
      </w:r>
      <w:hyperlink r:id="rId5" w:history="1">
        <w:r w:rsidRPr="003F4E34">
          <w:rPr>
            <w:rStyle w:val="Hyperlink"/>
            <w:rFonts w:ascii="Times New Roman" w:hAnsi="Times New Roman" w:cs="Times New Roman"/>
          </w:rPr>
          <w:t>https://mint.gov.hr/UserDocsImages//2023_dokumenti//231220_usp_met-satelit.pdf</w:t>
        </w:r>
      </w:hyperlink>
    </w:p>
  </w:footnote>
  <w:footnote w:id="6">
    <w:p w14:paraId="2B2CCDD7" w14:textId="77777777" w:rsidR="008929EE" w:rsidRPr="00D95B55" w:rsidRDefault="008929EE" w:rsidP="008929EE">
      <w:pPr>
        <w:pStyle w:val="FootnoteText"/>
        <w:rPr>
          <w:lang w:val="hr-HR"/>
        </w:rPr>
      </w:pPr>
      <w:r w:rsidRPr="003F4E34">
        <w:rPr>
          <w:rStyle w:val="FootnoteReference"/>
          <w:rFonts w:ascii="Times New Roman" w:hAnsi="Times New Roman" w:cs="Times New Roman"/>
        </w:rPr>
        <w:footnoteRef/>
      </w:r>
      <w:r w:rsidRPr="003F4E34">
        <w:rPr>
          <w:rFonts w:ascii="Times New Roman" w:hAnsi="Times New Roman" w:cs="Times New Roman"/>
        </w:rPr>
        <w:t xml:space="preserve"> </w:t>
      </w:r>
      <w:hyperlink r:id="rId6" w:history="1">
        <w:r w:rsidR="00823175" w:rsidRPr="003F4E34">
          <w:rPr>
            <w:rStyle w:val="Hyperlink"/>
            <w:rFonts w:ascii="Times New Roman" w:hAnsi="Times New Roman" w:cs="Times New Roman"/>
          </w:rPr>
          <w:t>https://mint.gov.hr/UserDocsImages/NPOO/Plan_OiO_turizam_srpanj2021.pdf</w:t>
        </w:r>
      </w:hyperlink>
      <w:r w:rsidR="00823175">
        <w:rPr>
          <w:rFonts w:ascii="Times New Roman" w:hAnsi="Times New Roman" w:cs="Times New Roman"/>
        </w:rPr>
        <w:t xml:space="preserve"> </w:t>
      </w:r>
    </w:p>
  </w:footnote>
  <w:footnote w:id="7">
    <w:p w14:paraId="2B2CCDD8" w14:textId="77777777" w:rsidR="008929EE" w:rsidRPr="003036B0" w:rsidRDefault="008929EE" w:rsidP="0032249A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EA3406">
        <w:rPr>
          <w:rFonts w:ascii="Times New Roman" w:hAnsi="Times New Roman" w:cs="Times New Roman"/>
        </w:rPr>
        <w:t>Djelatnost I – u skladu s Nacionalnom klasifikacijom djelatnosti 2007. – NKD 2007. odnosi se na djelatnosti pružanja smještaja te pripreme i usluživanja hrane</w:t>
      </w:r>
    </w:p>
  </w:footnote>
  <w:footnote w:id="8">
    <w:p w14:paraId="2B2CCDD9" w14:textId="77777777" w:rsidR="008929EE" w:rsidRPr="00CF0289" w:rsidRDefault="008929EE" w:rsidP="008929E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B51E90">
        <w:rPr>
          <w:lang w:val="hr-HR"/>
        </w:rPr>
        <w:t xml:space="preserve"> </w:t>
      </w:r>
      <w:hyperlink r:id="rId7" w:history="1">
        <w:r w:rsidRPr="00EA3406">
          <w:rPr>
            <w:rStyle w:val="Hyperlink"/>
            <w:rFonts w:ascii="Times New Roman" w:hAnsi="Times New Roman" w:cs="Times New Roman"/>
            <w:lang w:val="hr-HR"/>
          </w:rPr>
          <w:t>https://www.weforum.org/publications/travel-and-tourism-development-index-2021/explore-the-data/</w:t>
        </w:r>
      </w:hyperlink>
      <w:r w:rsidRPr="00B51E90">
        <w:rPr>
          <w:lang w:val="hr-HR"/>
        </w:rPr>
        <w:t xml:space="preserve"> </w:t>
      </w:r>
    </w:p>
  </w:footnote>
  <w:footnote w:id="9">
    <w:p w14:paraId="2B2CCDDA" w14:textId="77777777" w:rsidR="008929EE" w:rsidRPr="00BB1128" w:rsidRDefault="008929EE" w:rsidP="008929E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4A2329">
        <w:rPr>
          <w:rFonts w:ascii="Times New Roman" w:hAnsi="Times New Roman" w:cs="Times New Roman"/>
          <w:lang w:val="hr-HR"/>
        </w:rPr>
        <w:t>Indeks turističke razvijenosti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5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014B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320C70"/>
    <w:multiLevelType w:val="hybridMultilevel"/>
    <w:tmpl w:val="B4860A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962DE"/>
    <w:multiLevelType w:val="hybridMultilevel"/>
    <w:tmpl w:val="663A2D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5554"/>
    <w:multiLevelType w:val="hybridMultilevel"/>
    <w:tmpl w:val="BF06D37A"/>
    <w:lvl w:ilvl="0" w:tplc="048240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57C1"/>
    <w:multiLevelType w:val="hybridMultilevel"/>
    <w:tmpl w:val="8214AF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CC2239"/>
    <w:multiLevelType w:val="multilevel"/>
    <w:tmpl w:val="D90C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2D09E6"/>
    <w:multiLevelType w:val="multilevel"/>
    <w:tmpl w:val="D90C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9D"/>
    <w:rsid w:val="000037E8"/>
    <w:rsid w:val="00015B3C"/>
    <w:rsid w:val="00031F96"/>
    <w:rsid w:val="00062A09"/>
    <w:rsid w:val="00075F3A"/>
    <w:rsid w:val="000829D2"/>
    <w:rsid w:val="000A1776"/>
    <w:rsid w:val="000A33F7"/>
    <w:rsid w:val="000A413F"/>
    <w:rsid w:val="000A49B5"/>
    <w:rsid w:val="000C50BE"/>
    <w:rsid w:val="00104E08"/>
    <w:rsid w:val="00107080"/>
    <w:rsid w:val="00116FE3"/>
    <w:rsid w:val="0011707A"/>
    <w:rsid w:val="00155DE6"/>
    <w:rsid w:val="00176A89"/>
    <w:rsid w:val="001965E1"/>
    <w:rsid w:val="001A01EF"/>
    <w:rsid w:val="001A7D05"/>
    <w:rsid w:val="001B0F0B"/>
    <w:rsid w:val="001D18E4"/>
    <w:rsid w:val="001D3C68"/>
    <w:rsid w:val="001D75AB"/>
    <w:rsid w:val="001D76D8"/>
    <w:rsid w:val="001F42F4"/>
    <w:rsid w:val="001F57BB"/>
    <w:rsid w:val="00211F2B"/>
    <w:rsid w:val="002165AA"/>
    <w:rsid w:val="002214B5"/>
    <w:rsid w:val="00234EB8"/>
    <w:rsid w:val="00240867"/>
    <w:rsid w:val="00246D25"/>
    <w:rsid w:val="00255060"/>
    <w:rsid w:val="00257DA2"/>
    <w:rsid w:val="002710BD"/>
    <w:rsid w:val="00277D5D"/>
    <w:rsid w:val="002A23B2"/>
    <w:rsid w:val="002A3799"/>
    <w:rsid w:val="002B1CD0"/>
    <w:rsid w:val="002B3295"/>
    <w:rsid w:val="002D36F9"/>
    <w:rsid w:val="002D69D7"/>
    <w:rsid w:val="002E3A1A"/>
    <w:rsid w:val="002E7B1B"/>
    <w:rsid w:val="002F24A9"/>
    <w:rsid w:val="0030271C"/>
    <w:rsid w:val="003036B0"/>
    <w:rsid w:val="003121B8"/>
    <w:rsid w:val="00315D73"/>
    <w:rsid w:val="00321164"/>
    <w:rsid w:val="0032249A"/>
    <w:rsid w:val="00331AA4"/>
    <w:rsid w:val="00353659"/>
    <w:rsid w:val="00367168"/>
    <w:rsid w:val="0038450F"/>
    <w:rsid w:val="00384EB4"/>
    <w:rsid w:val="0038709B"/>
    <w:rsid w:val="00393933"/>
    <w:rsid w:val="003A5522"/>
    <w:rsid w:val="003A64FD"/>
    <w:rsid w:val="003B0197"/>
    <w:rsid w:val="003B3471"/>
    <w:rsid w:val="003D55DB"/>
    <w:rsid w:val="003D7B4C"/>
    <w:rsid w:val="003F4E34"/>
    <w:rsid w:val="003F5589"/>
    <w:rsid w:val="004002CD"/>
    <w:rsid w:val="0040707C"/>
    <w:rsid w:val="00420F79"/>
    <w:rsid w:val="004218C8"/>
    <w:rsid w:val="00421E35"/>
    <w:rsid w:val="004424EC"/>
    <w:rsid w:val="00463D40"/>
    <w:rsid w:val="0046560F"/>
    <w:rsid w:val="0049277C"/>
    <w:rsid w:val="004A0E6C"/>
    <w:rsid w:val="004A2329"/>
    <w:rsid w:val="004B438A"/>
    <w:rsid w:val="004D60B5"/>
    <w:rsid w:val="004F3564"/>
    <w:rsid w:val="004F75A1"/>
    <w:rsid w:val="00513AB8"/>
    <w:rsid w:val="00536D3D"/>
    <w:rsid w:val="00552476"/>
    <w:rsid w:val="00561A64"/>
    <w:rsid w:val="00566205"/>
    <w:rsid w:val="00582109"/>
    <w:rsid w:val="00583AD5"/>
    <w:rsid w:val="005A7315"/>
    <w:rsid w:val="005B10B4"/>
    <w:rsid w:val="005C5047"/>
    <w:rsid w:val="005C547B"/>
    <w:rsid w:val="005D57D1"/>
    <w:rsid w:val="005E113C"/>
    <w:rsid w:val="005F03D6"/>
    <w:rsid w:val="005F4F30"/>
    <w:rsid w:val="0061042F"/>
    <w:rsid w:val="00616B3C"/>
    <w:rsid w:val="00620F0B"/>
    <w:rsid w:val="006436AF"/>
    <w:rsid w:val="00644B19"/>
    <w:rsid w:val="00645FD2"/>
    <w:rsid w:val="0065139D"/>
    <w:rsid w:val="0066618B"/>
    <w:rsid w:val="006B708B"/>
    <w:rsid w:val="006C3AF1"/>
    <w:rsid w:val="006D114A"/>
    <w:rsid w:val="006D2D18"/>
    <w:rsid w:val="006E627A"/>
    <w:rsid w:val="00706CCC"/>
    <w:rsid w:val="007228F5"/>
    <w:rsid w:val="00724CCC"/>
    <w:rsid w:val="0073127F"/>
    <w:rsid w:val="00736A2B"/>
    <w:rsid w:val="00755C9D"/>
    <w:rsid w:val="007832AB"/>
    <w:rsid w:val="0078583E"/>
    <w:rsid w:val="00786D78"/>
    <w:rsid w:val="00787800"/>
    <w:rsid w:val="00787AB5"/>
    <w:rsid w:val="00794F93"/>
    <w:rsid w:val="007B25E0"/>
    <w:rsid w:val="007B471F"/>
    <w:rsid w:val="007C1008"/>
    <w:rsid w:val="007D45AD"/>
    <w:rsid w:val="007E5243"/>
    <w:rsid w:val="007F0DEB"/>
    <w:rsid w:val="00800E9D"/>
    <w:rsid w:val="0080722A"/>
    <w:rsid w:val="00811682"/>
    <w:rsid w:val="00815909"/>
    <w:rsid w:val="00817F1E"/>
    <w:rsid w:val="00823175"/>
    <w:rsid w:val="00833E76"/>
    <w:rsid w:val="008543DC"/>
    <w:rsid w:val="00861D46"/>
    <w:rsid w:val="00862D68"/>
    <w:rsid w:val="008658B5"/>
    <w:rsid w:val="00870C16"/>
    <w:rsid w:val="008929EE"/>
    <w:rsid w:val="00892B44"/>
    <w:rsid w:val="008C6FBB"/>
    <w:rsid w:val="008D07C3"/>
    <w:rsid w:val="009108B4"/>
    <w:rsid w:val="009144FA"/>
    <w:rsid w:val="00916F72"/>
    <w:rsid w:val="00931703"/>
    <w:rsid w:val="00931D14"/>
    <w:rsid w:val="009332ED"/>
    <w:rsid w:val="00937267"/>
    <w:rsid w:val="0094569A"/>
    <w:rsid w:val="00957A4D"/>
    <w:rsid w:val="009602A1"/>
    <w:rsid w:val="00985118"/>
    <w:rsid w:val="00991E1D"/>
    <w:rsid w:val="009A28B0"/>
    <w:rsid w:val="009B09C5"/>
    <w:rsid w:val="009B220E"/>
    <w:rsid w:val="009D7023"/>
    <w:rsid w:val="009E0DE0"/>
    <w:rsid w:val="009E26A9"/>
    <w:rsid w:val="009E5B5E"/>
    <w:rsid w:val="009F7C6B"/>
    <w:rsid w:val="00A22526"/>
    <w:rsid w:val="00A26BBE"/>
    <w:rsid w:val="00A30EB4"/>
    <w:rsid w:val="00A45007"/>
    <w:rsid w:val="00A4635E"/>
    <w:rsid w:val="00A47AA3"/>
    <w:rsid w:val="00A5357D"/>
    <w:rsid w:val="00A6503C"/>
    <w:rsid w:val="00A6696C"/>
    <w:rsid w:val="00A76E96"/>
    <w:rsid w:val="00A91402"/>
    <w:rsid w:val="00AA5DD1"/>
    <w:rsid w:val="00AB582E"/>
    <w:rsid w:val="00AC4BCC"/>
    <w:rsid w:val="00AC6B95"/>
    <w:rsid w:val="00AF27EB"/>
    <w:rsid w:val="00AF2971"/>
    <w:rsid w:val="00B25FED"/>
    <w:rsid w:val="00B34CBF"/>
    <w:rsid w:val="00B40F47"/>
    <w:rsid w:val="00B5138A"/>
    <w:rsid w:val="00B51E90"/>
    <w:rsid w:val="00B52264"/>
    <w:rsid w:val="00B720AE"/>
    <w:rsid w:val="00BA15B0"/>
    <w:rsid w:val="00BA46AD"/>
    <w:rsid w:val="00BA7F88"/>
    <w:rsid w:val="00BB1128"/>
    <w:rsid w:val="00BD027A"/>
    <w:rsid w:val="00BD158E"/>
    <w:rsid w:val="00BD5C3D"/>
    <w:rsid w:val="00BF1972"/>
    <w:rsid w:val="00BF3E2C"/>
    <w:rsid w:val="00C20DFF"/>
    <w:rsid w:val="00C23A91"/>
    <w:rsid w:val="00C44383"/>
    <w:rsid w:val="00C6507B"/>
    <w:rsid w:val="00C713F3"/>
    <w:rsid w:val="00C74749"/>
    <w:rsid w:val="00C74C80"/>
    <w:rsid w:val="00C76AFD"/>
    <w:rsid w:val="00C9142E"/>
    <w:rsid w:val="00C92F31"/>
    <w:rsid w:val="00CA5974"/>
    <w:rsid w:val="00CB2E71"/>
    <w:rsid w:val="00CB6716"/>
    <w:rsid w:val="00CC1A9C"/>
    <w:rsid w:val="00CE092E"/>
    <w:rsid w:val="00CE7D78"/>
    <w:rsid w:val="00CF2D8A"/>
    <w:rsid w:val="00D006DF"/>
    <w:rsid w:val="00D02BE1"/>
    <w:rsid w:val="00D03C12"/>
    <w:rsid w:val="00D074F1"/>
    <w:rsid w:val="00D33610"/>
    <w:rsid w:val="00D3419F"/>
    <w:rsid w:val="00D50ED5"/>
    <w:rsid w:val="00D567B8"/>
    <w:rsid w:val="00D64574"/>
    <w:rsid w:val="00D74541"/>
    <w:rsid w:val="00D74C93"/>
    <w:rsid w:val="00D75EA2"/>
    <w:rsid w:val="00D80FF7"/>
    <w:rsid w:val="00D90036"/>
    <w:rsid w:val="00D95ABB"/>
    <w:rsid w:val="00D95B55"/>
    <w:rsid w:val="00DC2CA1"/>
    <w:rsid w:val="00DC670C"/>
    <w:rsid w:val="00DF2F42"/>
    <w:rsid w:val="00E01226"/>
    <w:rsid w:val="00E10C3F"/>
    <w:rsid w:val="00E131BE"/>
    <w:rsid w:val="00E23604"/>
    <w:rsid w:val="00E41578"/>
    <w:rsid w:val="00E86347"/>
    <w:rsid w:val="00E90D0D"/>
    <w:rsid w:val="00E950BC"/>
    <w:rsid w:val="00EA3406"/>
    <w:rsid w:val="00EC013A"/>
    <w:rsid w:val="00EC24BC"/>
    <w:rsid w:val="00EC7BC0"/>
    <w:rsid w:val="00EF208D"/>
    <w:rsid w:val="00F00986"/>
    <w:rsid w:val="00F0580D"/>
    <w:rsid w:val="00F15B37"/>
    <w:rsid w:val="00F23148"/>
    <w:rsid w:val="00F362D7"/>
    <w:rsid w:val="00F400F6"/>
    <w:rsid w:val="00F60579"/>
    <w:rsid w:val="00F62C42"/>
    <w:rsid w:val="00F661F2"/>
    <w:rsid w:val="00F83C0C"/>
    <w:rsid w:val="00F84851"/>
    <w:rsid w:val="00FA5E0D"/>
    <w:rsid w:val="00FD71D0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CCB0"/>
  <w15:chartTrackingRefBased/>
  <w15:docId w15:val="{D969D826-84AD-4F69-BA9D-DF7C044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5D"/>
  </w:style>
  <w:style w:type="paragraph" w:styleId="Heading1">
    <w:name w:val="heading 1"/>
    <w:basedOn w:val="Normal"/>
    <w:next w:val="Normal"/>
    <w:link w:val="Heading1Char"/>
    <w:uiPriority w:val="9"/>
    <w:qFormat/>
    <w:rsid w:val="00277D5D"/>
    <w:pPr>
      <w:keepNext/>
      <w:keepLines/>
      <w:spacing w:before="360" w:after="40" w:line="240" w:lineRule="auto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5D"/>
    <w:pPr>
      <w:keepNext/>
      <w:keepLines/>
      <w:spacing w:before="8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D5D"/>
    <w:pPr>
      <w:keepNext/>
      <w:keepLines/>
      <w:spacing w:before="80" w:after="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D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D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D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D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D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D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D5D"/>
    <w:rPr>
      <w:rFonts w:ascii="Times New Roman" w:eastAsiaTheme="majorEastAsia" w:hAnsi="Times New Roman" w:cstheme="majorBidi"/>
      <w:b/>
      <w:sz w:val="24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77D5D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277D5D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7D5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D5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D5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D5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D5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D5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D5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D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77D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77D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D5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77D5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77D5D"/>
    <w:rPr>
      <w:b/>
      <w:bCs/>
    </w:rPr>
  </w:style>
  <w:style w:type="character" w:styleId="Emphasis">
    <w:name w:val="Emphasis"/>
    <w:basedOn w:val="DefaultParagraphFont"/>
    <w:uiPriority w:val="20"/>
    <w:qFormat/>
    <w:rsid w:val="00277D5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77D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D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77D5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D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D5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7D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77D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7D5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77D5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77D5D"/>
    <w:rPr>
      <w:b/>
      <w:bCs/>
      <w:caps w:val="0"/>
      <w:smallCaps/>
      <w:spacing w:val="7"/>
      <w:sz w:val="21"/>
      <w:szCs w:val="21"/>
    </w:rPr>
  </w:style>
  <w:style w:type="paragraph" w:styleId="ListParagraph">
    <w:name w:val="List Paragraph"/>
    <w:aliases w:val="Heading next,Colorful List - Accent 11,Lettre d'introduction,Resume Title,Citation List,Paragrafo elenco,1st level - Bullet List Paragraph,Paragraph,List Paragraph Red,lp1,Heading 12,heading 1,naslov 1,Naslov 12,Graf,REPORT Bullet,Dot pt"/>
    <w:basedOn w:val="Normal"/>
    <w:link w:val="ListParagraphChar"/>
    <w:uiPriority w:val="34"/>
    <w:qFormat/>
    <w:rsid w:val="00277D5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77D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7D5D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277D5D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277D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77D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3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6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E0"/>
  </w:style>
  <w:style w:type="paragraph" w:styleId="Footer">
    <w:name w:val="footer"/>
    <w:basedOn w:val="Normal"/>
    <w:link w:val="FooterChar"/>
    <w:uiPriority w:val="99"/>
    <w:unhideWhenUsed/>
    <w:rsid w:val="009E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E0"/>
  </w:style>
  <w:style w:type="character" w:customStyle="1" w:styleId="ListParagraphChar">
    <w:name w:val="List Paragraph Char"/>
    <w:aliases w:val="Heading next Char,Colorful List - Accent 11 Char,Lettre d'introduction Char,Resume Title Char,Citation List Char,Paragrafo elenco Char,1st level - Bullet List Paragraph Char,Paragraph Char,List Paragraph Red Char,lp1 Char,Graf Char"/>
    <w:link w:val="ListParagraph"/>
    <w:uiPriority w:val="34"/>
    <w:qFormat/>
    <w:rsid w:val="001A01EF"/>
  </w:style>
  <w:style w:type="paragraph" w:styleId="FootnoteText">
    <w:name w:val="footnote text"/>
    <w:basedOn w:val="Normal"/>
    <w:link w:val="FootnoteTextChar"/>
    <w:uiPriority w:val="99"/>
    <w:semiHidden/>
    <w:unhideWhenUsed/>
    <w:rsid w:val="001A01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1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01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51E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2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t.gov.hr/UserDocsImages//2023_dokumenti//Nacionalni%20plan%20razvoja%20odr%C5%BEivog%20turizma%20do%202027.%20godine%20i%20Akcijski%20plan%20do%202025.%20godine.pdf" TargetMode="External"/><Relationship Id="rId7" Type="http://schemas.openxmlformats.org/officeDocument/2006/relationships/hyperlink" Target="https://www.weforum.org/publications/travel-and-tourism-development-index-2021/explore-the-data/" TargetMode="External"/><Relationship Id="rId2" Type="http://schemas.openxmlformats.org/officeDocument/2006/relationships/hyperlink" Target="https://www.unwto.org/un-tourism-world-tourism-barometer-data" TargetMode="External"/><Relationship Id="rId1" Type="http://schemas.openxmlformats.org/officeDocument/2006/relationships/hyperlink" Target="https://narodne-novine.nn.hr/clanci/sluzbeni/full/2023_01_2_18.html" TargetMode="External"/><Relationship Id="rId6" Type="http://schemas.openxmlformats.org/officeDocument/2006/relationships/hyperlink" Target="https://mint.gov.hr/UserDocsImages/NPOO/Plan_OiO_turizam_srpanj2021.pdf" TargetMode="External"/><Relationship Id="rId5" Type="http://schemas.openxmlformats.org/officeDocument/2006/relationships/hyperlink" Target="https://mint.gov.hr/UserDocsImages//2023_dokumenti//231220_usp_met-satelit.pdf" TargetMode="External"/><Relationship Id="rId4" Type="http://schemas.openxmlformats.org/officeDocument/2006/relationships/hyperlink" Target="https://narodne-novine.nn.hr/clanci/sluzbeni/2023_12_156_23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1FAA78E7A5D40BD783637AE02D6A8" ma:contentTypeVersion="0" ma:contentTypeDescription="Create a new document." ma:contentTypeScope="" ma:versionID="e4458e3cce33b739dc0fa5ce7c6b70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5D24-2615-48B5-82D6-D965F5B24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322A-CE91-4CB4-A2A9-6B1BAADC2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2FC05-E691-43D0-9696-EF64A222A1B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5B621E-A84E-47B1-85F6-B3C1300A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5026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Borovnjak</dc:creator>
  <cp:keywords/>
  <dc:description/>
  <cp:lastModifiedBy>Marina Tatalović</cp:lastModifiedBy>
  <cp:revision>3</cp:revision>
  <cp:lastPrinted>2024-07-01T13:16:00Z</cp:lastPrinted>
  <dcterms:created xsi:type="dcterms:W3CDTF">2024-07-03T09:25:00Z</dcterms:created>
  <dcterms:modified xsi:type="dcterms:W3CDTF">2024-07-04T10:44:00Z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fe1c53b4-ef88-476c-9311-34b9b8ebfe3f</vt:lpwstr>
  </property>
  <property fmtid="{D5CDD505-2E9C-101B-9397-08002B2CF9AE}" pid="3" name="ContentTypeId">
    <vt:lpwstr>0x010100C3A1FAA78E7A5D40BD783637AE02D6A8</vt:lpwstr>
  </property>
  <property fmtid="{D5CDD505-2E9C-101B-9397-08002B2CF9AE}" pid="4" name="_dlc_DocId">
    <vt:lpwstr>WERSUTXMPKFF-5-14989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